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12D22">
      <w:pPr>
        <w:pStyle w:val="16"/>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17"/>
        <w:tblW w:w="93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33"/>
        <w:gridCol w:w="2939"/>
        <w:gridCol w:w="1424"/>
        <w:gridCol w:w="3469"/>
      </w:tblGrid>
      <w:tr w14:paraId="4AC70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05829AD4">
            <w:pPr>
              <w:adjustRightInd w:val="0"/>
              <w:snapToGrid w:val="0"/>
              <w:jc w:val="center"/>
              <w:rPr>
                <w:color w:val="auto"/>
                <w:sz w:val="24"/>
              </w:rPr>
            </w:pPr>
            <w:r>
              <w:rPr>
                <w:rFonts w:hAnsi="宋体"/>
                <w:color w:val="auto"/>
                <w:sz w:val="24"/>
              </w:rPr>
              <w:t>建设项目名称</w:t>
            </w:r>
          </w:p>
        </w:tc>
        <w:tc>
          <w:tcPr>
            <w:tcW w:w="7832" w:type="dxa"/>
            <w:gridSpan w:val="3"/>
            <w:noWrap w:val="0"/>
            <w:vAlign w:val="center"/>
          </w:tcPr>
          <w:p w14:paraId="4754026F">
            <w:pPr>
              <w:adjustRightInd w:val="0"/>
              <w:snapToGrid w:val="0"/>
              <w:jc w:val="center"/>
              <w:rPr>
                <w:rFonts w:hint="default" w:hAnsi="宋体" w:eastAsia="宋体"/>
                <w:color w:val="auto"/>
                <w:sz w:val="24"/>
                <w:lang w:val="en-US" w:eastAsia="zh-CN"/>
              </w:rPr>
            </w:pPr>
            <w:r>
              <w:rPr>
                <w:rFonts w:hint="eastAsia" w:hAnsi="宋体"/>
                <w:color w:val="auto"/>
                <w:sz w:val="24"/>
                <w:lang w:val="en-US" w:eastAsia="zh-CN"/>
              </w:rPr>
              <w:t>年产1000万只镍氢电池项目</w:t>
            </w:r>
          </w:p>
        </w:tc>
      </w:tr>
      <w:tr w14:paraId="534AFA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14C32F44">
            <w:pPr>
              <w:adjustRightInd w:val="0"/>
              <w:snapToGrid w:val="0"/>
              <w:jc w:val="center"/>
              <w:rPr>
                <w:color w:val="auto"/>
                <w:sz w:val="24"/>
                <w:highlight w:val="none"/>
              </w:rPr>
            </w:pPr>
            <w:r>
              <w:rPr>
                <w:rFonts w:hAnsi="宋体"/>
                <w:color w:val="auto"/>
                <w:sz w:val="24"/>
                <w:highlight w:val="none"/>
              </w:rPr>
              <w:t>项目代码</w:t>
            </w:r>
          </w:p>
        </w:tc>
        <w:tc>
          <w:tcPr>
            <w:tcW w:w="7832" w:type="dxa"/>
            <w:gridSpan w:val="3"/>
            <w:noWrap w:val="0"/>
            <w:vAlign w:val="center"/>
          </w:tcPr>
          <w:p w14:paraId="69763C04">
            <w:pPr>
              <w:adjustRightInd w:val="0"/>
              <w:snapToGrid w:val="0"/>
              <w:jc w:val="center"/>
              <w:rPr>
                <w:rFonts w:hint="default" w:eastAsia="宋体"/>
                <w:color w:val="auto"/>
                <w:sz w:val="24"/>
                <w:highlight w:val="none"/>
                <w:lang w:val="en-US" w:eastAsia="zh-CN"/>
              </w:rPr>
            </w:pPr>
            <w:r>
              <w:rPr>
                <w:rFonts w:hint="default" w:eastAsia="宋体"/>
                <w:color w:val="auto"/>
                <w:sz w:val="24"/>
                <w:highlight w:val="none"/>
                <w:lang w:val="en-US" w:eastAsia="zh-CN"/>
              </w:rPr>
              <w:t>2604-410726-04-01-100165</w:t>
            </w:r>
          </w:p>
        </w:tc>
      </w:tr>
      <w:tr w14:paraId="7FFB25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343E921E">
            <w:pPr>
              <w:adjustRightInd w:val="0"/>
              <w:snapToGrid w:val="0"/>
              <w:jc w:val="center"/>
              <w:rPr>
                <w:color w:val="auto"/>
                <w:sz w:val="24"/>
              </w:rPr>
            </w:pPr>
            <w:r>
              <w:rPr>
                <w:rFonts w:hAnsi="宋体"/>
                <w:color w:val="auto"/>
                <w:sz w:val="24"/>
              </w:rPr>
              <w:t>建设单位联系人</w:t>
            </w:r>
          </w:p>
        </w:tc>
        <w:tc>
          <w:tcPr>
            <w:tcW w:w="2939" w:type="dxa"/>
            <w:noWrap w:val="0"/>
            <w:vAlign w:val="center"/>
          </w:tcPr>
          <w:p w14:paraId="2AFD7033">
            <w:pPr>
              <w:jc w:val="center"/>
              <w:rPr>
                <w:rFonts w:hint="default" w:eastAsia="宋体"/>
                <w:color w:val="auto"/>
                <w:sz w:val="24"/>
                <w:lang w:val="en-US" w:eastAsia="zh-CN"/>
              </w:rPr>
            </w:pPr>
            <w:r>
              <w:rPr>
                <w:rFonts w:hint="eastAsia"/>
                <w:color w:val="auto"/>
                <w:sz w:val="24"/>
                <w:lang w:val="en-US" w:eastAsia="zh-CN"/>
              </w:rPr>
              <w:t>张振东</w:t>
            </w:r>
          </w:p>
        </w:tc>
        <w:tc>
          <w:tcPr>
            <w:tcW w:w="1424" w:type="dxa"/>
            <w:noWrap w:val="0"/>
            <w:vAlign w:val="center"/>
          </w:tcPr>
          <w:p w14:paraId="1ED42D12">
            <w:pPr>
              <w:jc w:val="center"/>
              <w:rPr>
                <w:color w:val="auto"/>
                <w:sz w:val="24"/>
              </w:rPr>
            </w:pPr>
            <w:r>
              <w:rPr>
                <w:rFonts w:hint="eastAsia"/>
                <w:color w:val="auto"/>
                <w:sz w:val="24"/>
                <w:szCs w:val="24"/>
              </w:rPr>
              <w:t>联系方式</w:t>
            </w:r>
          </w:p>
        </w:tc>
        <w:tc>
          <w:tcPr>
            <w:tcW w:w="3469" w:type="dxa"/>
            <w:noWrap w:val="0"/>
            <w:vAlign w:val="center"/>
          </w:tcPr>
          <w:p w14:paraId="3696A2CB">
            <w:pPr>
              <w:jc w:val="center"/>
              <w:rPr>
                <w:rFonts w:hint="default" w:eastAsia="宋体"/>
                <w:color w:val="auto"/>
                <w:sz w:val="24"/>
                <w:lang w:val="en-US" w:eastAsia="zh-CN"/>
              </w:rPr>
            </w:pPr>
            <w:r>
              <w:rPr>
                <w:rFonts w:hint="eastAsia"/>
                <w:color w:val="auto"/>
                <w:sz w:val="24"/>
                <w:lang w:val="en-US" w:eastAsia="zh-CN"/>
              </w:rPr>
              <w:t>*******</w:t>
            </w:r>
          </w:p>
        </w:tc>
      </w:tr>
      <w:tr w14:paraId="2FDEDA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7BA97DCB">
            <w:pPr>
              <w:adjustRightInd w:val="0"/>
              <w:snapToGrid w:val="0"/>
              <w:jc w:val="center"/>
              <w:rPr>
                <w:rFonts w:hint="default" w:hAnsi="宋体" w:eastAsia="宋体"/>
                <w:color w:val="auto"/>
                <w:sz w:val="24"/>
                <w:lang w:val="en-US" w:eastAsia="zh-CN"/>
              </w:rPr>
            </w:pPr>
            <w:r>
              <w:rPr>
                <w:rFonts w:hint="eastAsia" w:hAnsi="宋体"/>
                <w:color w:val="auto"/>
                <w:sz w:val="24"/>
                <w:lang w:val="en-US" w:eastAsia="zh-CN"/>
              </w:rPr>
              <w:t>建设单位法人</w:t>
            </w:r>
          </w:p>
        </w:tc>
        <w:tc>
          <w:tcPr>
            <w:tcW w:w="2939" w:type="dxa"/>
            <w:noWrap w:val="0"/>
            <w:vAlign w:val="center"/>
          </w:tcPr>
          <w:p w14:paraId="7CBEF110">
            <w:pPr>
              <w:jc w:val="center"/>
              <w:rPr>
                <w:rFonts w:hint="default"/>
                <w:color w:val="auto"/>
                <w:sz w:val="24"/>
                <w:szCs w:val="24"/>
                <w:lang w:val="en-US" w:eastAsia="zh-CN"/>
              </w:rPr>
            </w:pPr>
            <w:r>
              <w:rPr>
                <w:rFonts w:hint="eastAsia"/>
                <w:color w:val="auto"/>
                <w:sz w:val="24"/>
                <w:szCs w:val="24"/>
                <w:lang w:val="en-US" w:eastAsia="zh-CN"/>
              </w:rPr>
              <w:t>张振东</w:t>
            </w:r>
          </w:p>
        </w:tc>
        <w:tc>
          <w:tcPr>
            <w:tcW w:w="1424" w:type="dxa"/>
            <w:noWrap w:val="0"/>
            <w:vAlign w:val="center"/>
          </w:tcPr>
          <w:p w14:paraId="50E8EA55">
            <w:pPr>
              <w:jc w:val="center"/>
              <w:rPr>
                <w:rFonts w:hint="default"/>
                <w:color w:val="auto"/>
                <w:sz w:val="24"/>
                <w:szCs w:val="24"/>
                <w:lang w:val="en-US" w:eastAsia="zh-CN"/>
              </w:rPr>
            </w:pPr>
            <w:r>
              <w:rPr>
                <w:rFonts w:hint="eastAsia"/>
                <w:color w:val="auto"/>
                <w:sz w:val="24"/>
                <w:szCs w:val="24"/>
                <w:lang w:val="en-US" w:eastAsia="zh-CN"/>
              </w:rPr>
              <w:t>统一社会信用代码</w:t>
            </w:r>
          </w:p>
        </w:tc>
        <w:tc>
          <w:tcPr>
            <w:tcW w:w="3469" w:type="dxa"/>
            <w:noWrap w:val="0"/>
            <w:vAlign w:val="center"/>
          </w:tcPr>
          <w:p w14:paraId="17C82BD7">
            <w:pPr>
              <w:jc w:val="center"/>
              <w:rPr>
                <w:rFonts w:hint="eastAsia"/>
                <w:color w:val="auto"/>
                <w:sz w:val="24"/>
                <w:szCs w:val="24"/>
              </w:rPr>
            </w:pPr>
            <w:r>
              <w:rPr>
                <w:rFonts w:hint="eastAsia"/>
                <w:color w:val="auto"/>
                <w:sz w:val="24"/>
                <w:szCs w:val="24"/>
              </w:rPr>
              <w:t>92410726MAK3A4TH5Q</w:t>
            </w:r>
          </w:p>
        </w:tc>
      </w:tr>
      <w:tr w14:paraId="57877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6D1C3C4B">
            <w:pPr>
              <w:adjustRightInd w:val="0"/>
              <w:snapToGrid w:val="0"/>
              <w:jc w:val="center"/>
              <w:rPr>
                <w:color w:val="auto"/>
                <w:sz w:val="24"/>
              </w:rPr>
            </w:pPr>
            <w:r>
              <w:rPr>
                <w:rFonts w:hAnsi="宋体"/>
                <w:color w:val="auto"/>
                <w:sz w:val="24"/>
              </w:rPr>
              <w:t>建设地点</w:t>
            </w:r>
          </w:p>
        </w:tc>
        <w:tc>
          <w:tcPr>
            <w:tcW w:w="7832" w:type="dxa"/>
            <w:gridSpan w:val="3"/>
            <w:noWrap w:val="0"/>
            <w:vAlign w:val="center"/>
          </w:tcPr>
          <w:p w14:paraId="0886A1A1">
            <w:pPr>
              <w:adjustRightInd w:val="0"/>
              <w:snapToGrid w:val="0"/>
              <w:jc w:val="center"/>
              <w:rPr>
                <w:rFonts w:hint="default"/>
                <w:color w:val="auto"/>
                <w:sz w:val="24"/>
                <w:lang w:val="en-US"/>
              </w:rPr>
            </w:pPr>
            <w:r>
              <w:rPr>
                <w:rFonts w:hint="default"/>
                <w:color w:val="auto"/>
                <w:sz w:val="24"/>
                <w:lang w:val="en-US"/>
              </w:rPr>
              <w:t>河南省新乡市延津县石婆固乡西秦庄村012号</w:t>
            </w:r>
          </w:p>
        </w:tc>
      </w:tr>
      <w:tr w14:paraId="3F8765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2BFB4180">
            <w:pPr>
              <w:adjustRightInd w:val="0"/>
              <w:snapToGrid w:val="0"/>
              <w:jc w:val="center"/>
              <w:rPr>
                <w:color w:val="auto"/>
                <w:sz w:val="24"/>
              </w:rPr>
            </w:pPr>
            <w:r>
              <w:rPr>
                <w:rFonts w:hAnsi="宋体"/>
                <w:color w:val="auto"/>
                <w:sz w:val="24"/>
              </w:rPr>
              <w:t>地理坐标</w:t>
            </w:r>
          </w:p>
        </w:tc>
        <w:tc>
          <w:tcPr>
            <w:tcW w:w="7832" w:type="dxa"/>
            <w:gridSpan w:val="3"/>
            <w:noWrap w:val="0"/>
            <w:vAlign w:val="center"/>
          </w:tcPr>
          <w:p w14:paraId="4A4B7761">
            <w:pPr>
              <w:jc w:val="center"/>
              <w:rPr>
                <w:color w:val="auto"/>
                <w:sz w:val="24"/>
              </w:rPr>
            </w:pPr>
            <w:r>
              <w:rPr>
                <w:color w:val="auto"/>
                <w:sz w:val="24"/>
                <w:szCs w:val="24"/>
              </w:rPr>
              <w:t>（</w:t>
            </w:r>
            <w:r>
              <w:rPr>
                <w:rFonts w:hint="eastAsia"/>
                <w:color w:val="auto"/>
                <w:sz w:val="24"/>
                <w:szCs w:val="24"/>
                <w:u w:val="single"/>
                <w:lang w:val="en-US" w:eastAsia="zh-CN"/>
              </w:rPr>
              <w:t xml:space="preserve"> 114 </w:t>
            </w:r>
            <w:r>
              <w:rPr>
                <w:color w:val="auto"/>
                <w:sz w:val="24"/>
                <w:szCs w:val="24"/>
              </w:rPr>
              <w:t>度</w:t>
            </w:r>
            <w:r>
              <w:rPr>
                <w:rFonts w:hint="eastAsia"/>
                <w:color w:val="auto"/>
                <w:sz w:val="24"/>
                <w:szCs w:val="24"/>
                <w:u w:val="single"/>
                <w:lang w:val="en-US" w:eastAsia="zh-CN"/>
              </w:rPr>
              <w:t xml:space="preserve"> 9 </w:t>
            </w:r>
            <w:r>
              <w:rPr>
                <w:color w:val="auto"/>
                <w:sz w:val="24"/>
                <w:szCs w:val="24"/>
              </w:rPr>
              <w:t>分</w:t>
            </w:r>
            <w:r>
              <w:rPr>
                <w:rFonts w:hint="eastAsia"/>
                <w:color w:val="auto"/>
                <w:sz w:val="24"/>
                <w:szCs w:val="24"/>
                <w:u w:val="single"/>
                <w:lang w:val="en-US" w:eastAsia="zh-CN"/>
              </w:rPr>
              <w:t xml:space="preserve"> 51.345 </w:t>
            </w:r>
            <w:r>
              <w:rPr>
                <w:color w:val="auto"/>
                <w:sz w:val="24"/>
                <w:szCs w:val="24"/>
              </w:rPr>
              <w:t>秒，</w:t>
            </w:r>
            <w:r>
              <w:rPr>
                <w:rFonts w:hint="eastAsia"/>
                <w:color w:val="auto"/>
                <w:sz w:val="24"/>
                <w:szCs w:val="24"/>
                <w:u w:val="single"/>
                <w:lang w:val="en-US" w:eastAsia="zh-CN"/>
              </w:rPr>
              <w:t xml:space="preserve"> 35 </w:t>
            </w:r>
            <w:r>
              <w:rPr>
                <w:color w:val="auto"/>
                <w:sz w:val="24"/>
                <w:szCs w:val="24"/>
              </w:rPr>
              <w:t>度</w:t>
            </w:r>
            <w:r>
              <w:rPr>
                <w:rFonts w:hint="eastAsia"/>
                <w:color w:val="auto"/>
                <w:sz w:val="24"/>
                <w:szCs w:val="24"/>
                <w:u w:val="single"/>
                <w:lang w:val="en-US" w:eastAsia="zh-CN"/>
              </w:rPr>
              <w:t xml:space="preserve"> 14 </w:t>
            </w:r>
            <w:r>
              <w:rPr>
                <w:color w:val="auto"/>
                <w:sz w:val="24"/>
                <w:szCs w:val="24"/>
              </w:rPr>
              <w:t>分</w:t>
            </w:r>
            <w:r>
              <w:rPr>
                <w:rFonts w:hint="eastAsia"/>
                <w:color w:val="auto"/>
                <w:sz w:val="24"/>
                <w:szCs w:val="24"/>
                <w:u w:val="single"/>
                <w:lang w:val="en-US" w:eastAsia="zh-CN"/>
              </w:rPr>
              <w:t xml:space="preserve"> 38.454 </w:t>
            </w:r>
            <w:r>
              <w:rPr>
                <w:color w:val="auto"/>
                <w:sz w:val="24"/>
                <w:szCs w:val="24"/>
              </w:rPr>
              <w:t>秒）</w:t>
            </w:r>
          </w:p>
        </w:tc>
      </w:tr>
      <w:tr w14:paraId="7CFD56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4" w:hRule="atLeast"/>
          <w:jc w:val="center"/>
        </w:trPr>
        <w:tc>
          <w:tcPr>
            <w:tcW w:w="1533" w:type="dxa"/>
            <w:noWrap w:val="0"/>
            <w:tcMar>
              <w:top w:w="16" w:type="dxa"/>
              <w:left w:w="16" w:type="dxa"/>
              <w:right w:w="16" w:type="dxa"/>
            </w:tcMar>
            <w:vAlign w:val="center"/>
          </w:tcPr>
          <w:p w14:paraId="47EE1F61">
            <w:pPr>
              <w:adjustRightInd w:val="0"/>
              <w:snapToGrid w:val="0"/>
              <w:jc w:val="center"/>
              <w:rPr>
                <w:color w:val="auto"/>
                <w:sz w:val="24"/>
              </w:rPr>
            </w:pPr>
            <w:r>
              <w:rPr>
                <w:rFonts w:hAnsi="宋体"/>
                <w:color w:val="auto"/>
                <w:sz w:val="24"/>
              </w:rPr>
              <w:t>国民经济行业类别</w:t>
            </w:r>
          </w:p>
        </w:tc>
        <w:tc>
          <w:tcPr>
            <w:tcW w:w="2939" w:type="dxa"/>
            <w:noWrap w:val="0"/>
            <w:vAlign w:val="center"/>
          </w:tcPr>
          <w:p w14:paraId="154863A6">
            <w:pPr>
              <w:jc w:val="center"/>
              <w:rPr>
                <w:rFonts w:hint="eastAsia" w:eastAsia="宋体"/>
                <w:color w:val="auto"/>
                <w:sz w:val="24"/>
                <w:highlight w:val="none"/>
                <w:lang w:eastAsia="zh-CN"/>
              </w:rPr>
            </w:pPr>
            <w:r>
              <w:rPr>
                <w:rFonts w:hint="eastAsia" w:cs="Times New Roman"/>
                <w:b w:val="0"/>
                <w:bCs w:val="0"/>
                <w:color w:val="auto"/>
                <w:sz w:val="24"/>
                <w:szCs w:val="24"/>
                <w:highlight w:val="none"/>
                <w:vertAlign w:val="baseline"/>
                <w:lang w:eastAsia="zh-CN"/>
              </w:rPr>
              <w:t>C3842镍氢电池制造</w:t>
            </w:r>
          </w:p>
        </w:tc>
        <w:tc>
          <w:tcPr>
            <w:tcW w:w="1424" w:type="dxa"/>
            <w:noWrap w:val="0"/>
            <w:vAlign w:val="center"/>
          </w:tcPr>
          <w:p w14:paraId="5AD18583">
            <w:pPr>
              <w:jc w:val="center"/>
              <w:rPr>
                <w:color w:val="auto"/>
                <w:sz w:val="24"/>
                <w:szCs w:val="24"/>
                <w:highlight w:val="none"/>
              </w:rPr>
            </w:pPr>
            <w:r>
              <w:rPr>
                <w:rFonts w:hint="eastAsia"/>
                <w:color w:val="auto"/>
                <w:sz w:val="24"/>
                <w:szCs w:val="24"/>
                <w:highlight w:val="none"/>
              </w:rPr>
              <w:t>建设项目</w:t>
            </w:r>
          </w:p>
          <w:p w14:paraId="69EF7EEF">
            <w:pPr>
              <w:jc w:val="center"/>
              <w:rPr>
                <w:color w:val="auto"/>
                <w:sz w:val="24"/>
                <w:highlight w:val="none"/>
              </w:rPr>
            </w:pPr>
            <w:r>
              <w:rPr>
                <w:rFonts w:hint="eastAsia"/>
                <w:color w:val="auto"/>
                <w:sz w:val="24"/>
                <w:szCs w:val="24"/>
                <w:highlight w:val="none"/>
              </w:rPr>
              <w:t>行业类别</w:t>
            </w:r>
          </w:p>
        </w:tc>
        <w:tc>
          <w:tcPr>
            <w:tcW w:w="3469" w:type="dxa"/>
            <w:noWrap w:val="0"/>
            <w:vAlign w:val="center"/>
          </w:tcPr>
          <w:p w14:paraId="2576B5A2">
            <w:pPr>
              <w:jc w:val="center"/>
              <w:rPr>
                <w:rFonts w:hint="default"/>
                <w:color w:val="auto"/>
                <w:sz w:val="24"/>
                <w:highlight w:val="none"/>
                <w:lang w:val="en-US"/>
              </w:rPr>
            </w:pPr>
            <w:r>
              <w:rPr>
                <w:rFonts w:hint="eastAsia"/>
                <w:b w:val="0"/>
                <w:bCs w:val="0"/>
                <w:color w:val="auto"/>
                <w:sz w:val="24"/>
                <w:szCs w:val="24"/>
                <w:highlight w:val="none"/>
                <w:lang w:val="en-US" w:eastAsia="zh-CN"/>
              </w:rPr>
              <w:t>三十五、电气机械和器材制造业38-77电池制造 384-其他（仅分割、焊接、组装的除外；年用非溶剂型低VOCs含量涂料10吨以下的除外）</w:t>
            </w:r>
          </w:p>
        </w:tc>
      </w:tr>
      <w:tr w14:paraId="36C115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533" w:type="dxa"/>
            <w:noWrap w:val="0"/>
            <w:tcMar>
              <w:top w:w="16" w:type="dxa"/>
              <w:left w:w="16" w:type="dxa"/>
              <w:right w:w="16" w:type="dxa"/>
            </w:tcMar>
            <w:vAlign w:val="center"/>
          </w:tcPr>
          <w:p w14:paraId="59FE94B9">
            <w:pPr>
              <w:adjustRightInd w:val="0"/>
              <w:snapToGrid w:val="0"/>
              <w:jc w:val="center"/>
              <w:rPr>
                <w:color w:val="auto"/>
                <w:sz w:val="24"/>
              </w:rPr>
            </w:pPr>
            <w:r>
              <w:rPr>
                <w:rFonts w:hAnsi="宋体"/>
                <w:color w:val="auto"/>
                <w:sz w:val="24"/>
              </w:rPr>
              <w:t>建设性质</w:t>
            </w:r>
          </w:p>
        </w:tc>
        <w:tc>
          <w:tcPr>
            <w:tcW w:w="2939" w:type="dxa"/>
            <w:noWrap w:val="0"/>
            <w:vAlign w:val="center"/>
          </w:tcPr>
          <w:p w14:paraId="29186B4D">
            <w:pPr>
              <w:jc w:val="left"/>
              <w:rPr>
                <w:color w:val="auto"/>
                <w:sz w:val="24"/>
              </w:rPr>
            </w:pPr>
            <w:r>
              <w:rPr>
                <w:color w:val="auto"/>
                <w:sz w:val="24"/>
              </w:rPr>
              <w:sym w:font="Wingdings 2" w:char="0052"/>
            </w:r>
            <w:r>
              <w:rPr>
                <w:rFonts w:hAnsi="宋体"/>
                <w:color w:val="auto"/>
                <w:sz w:val="24"/>
              </w:rPr>
              <w:t>新建（迁建）</w:t>
            </w:r>
          </w:p>
          <w:p w14:paraId="37082D3C">
            <w:pPr>
              <w:jc w:val="left"/>
              <w:rPr>
                <w:color w:val="auto"/>
                <w:sz w:val="24"/>
              </w:rPr>
            </w:pPr>
            <w:r>
              <w:rPr>
                <w:rFonts w:hint="eastAsia"/>
                <w:color w:val="auto"/>
                <w:sz w:val="24"/>
                <w:lang w:eastAsia="zh-CN"/>
              </w:rPr>
              <w:t>□</w:t>
            </w:r>
            <w:r>
              <w:rPr>
                <w:rFonts w:hAnsi="宋体"/>
                <w:color w:val="auto"/>
                <w:sz w:val="24"/>
              </w:rPr>
              <w:t>改建</w:t>
            </w:r>
          </w:p>
          <w:p w14:paraId="13BEEE2D">
            <w:pPr>
              <w:jc w:val="left"/>
              <w:rPr>
                <w:color w:val="auto"/>
                <w:sz w:val="24"/>
              </w:rPr>
            </w:pPr>
            <w:r>
              <w:rPr>
                <w:rFonts w:hint="eastAsia"/>
                <w:color w:val="auto"/>
                <w:sz w:val="24"/>
                <w:lang w:eastAsia="zh-CN"/>
              </w:rPr>
              <w:t>□</w:t>
            </w:r>
            <w:r>
              <w:rPr>
                <w:rFonts w:hAnsi="宋体"/>
                <w:color w:val="auto"/>
                <w:sz w:val="24"/>
              </w:rPr>
              <w:t>扩建</w:t>
            </w:r>
          </w:p>
          <w:p w14:paraId="7E68C72B">
            <w:pPr>
              <w:jc w:val="left"/>
              <w:rPr>
                <w:color w:val="auto"/>
                <w:sz w:val="24"/>
              </w:rPr>
            </w:pPr>
            <w:r>
              <w:rPr>
                <w:rFonts w:hint="eastAsia"/>
                <w:color w:val="auto"/>
                <w:sz w:val="24"/>
                <w:lang w:eastAsia="zh-CN"/>
              </w:rPr>
              <w:t>□</w:t>
            </w:r>
            <w:r>
              <w:rPr>
                <w:rFonts w:hAnsi="宋体"/>
                <w:color w:val="auto"/>
                <w:sz w:val="24"/>
              </w:rPr>
              <w:t>技术改造</w:t>
            </w:r>
          </w:p>
        </w:tc>
        <w:tc>
          <w:tcPr>
            <w:tcW w:w="1424" w:type="dxa"/>
            <w:noWrap w:val="0"/>
            <w:vAlign w:val="center"/>
          </w:tcPr>
          <w:p w14:paraId="36632FD2">
            <w:pPr>
              <w:adjustRightInd w:val="0"/>
              <w:snapToGrid w:val="0"/>
              <w:jc w:val="center"/>
              <w:rPr>
                <w:color w:val="auto"/>
                <w:sz w:val="24"/>
              </w:rPr>
            </w:pPr>
            <w:r>
              <w:rPr>
                <w:rFonts w:hAnsi="宋体"/>
                <w:color w:val="auto"/>
                <w:sz w:val="24"/>
              </w:rPr>
              <w:t>建设项目</w:t>
            </w:r>
          </w:p>
          <w:p w14:paraId="2D2D8C10">
            <w:pPr>
              <w:adjustRightInd w:val="0"/>
              <w:snapToGrid w:val="0"/>
              <w:jc w:val="center"/>
              <w:rPr>
                <w:color w:val="auto"/>
                <w:sz w:val="24"/>
              </w:rPr>
            </w:pPr>
            <w:r>
              <w:rPr>
                <w:rFonts w:hAnsi="宋体"/>
                <w:color w:val="auto"/>
                <w:sz w:val="24"/>
              </w:rPr>
              <w:t>申报情形</w:t>
            </w:r>
          </w:p>
        </w:tc>
        <w:tc>
          <w:tcPr>
            <w:tcW w:w="3469" w:type="dxa"/>
            <w:noWrap w:val="0"/>
            <w:vAlign w:val="center"/>
          </w:tcPr>
          <w:p w14:paraId="1850544E">
            <w:pPr>
              <w:jc w:val="left"/>
              <w:rPr>
                <w:color w:val="auto"/>
                <w:sz w:val="24"/>
              </w:rPr>
            </w:pPr>
            <w:r>
              <w:rPr>
                <w:rFonts w:ascii="Wingdings 2" w:hAnsi="Wingdings 2" w:eastAsia="Wingdings 2" w:cs="Wingdings 2"/>
                <w:color w:val="auto"/>
                <w:sz w:val="24"/>
              </w:rPr>
              <w:t></w:t>
            </w:r>
            <w:r>
              <w:rPr>
                <w:rFonts w:hAnsi="宋体"/>
                <w:color w:val="auto"/>
                <w:sz w:val="24"/>
              </w:rPr>
              <w:t>首次申报项目</w:t>
            </w:r>
            <w:r>
              <w:rPr>
                <w:color w:val="auto"/>
                <w:sz w:val="24"/>
              </w:rPr>
              <w:t xml:space="preserve">             </w:t>
            </w:r>
          </w:p>
          <w:p w14:paraId="34B3D47F">
            <w:pPr>
              <w:jc w:val="left"/>
              <w:rPr>
                <w:color w:val="auto"/>
                <w:sz w:val="24"/>
              </w:rPr>
            </w:pPr>
            <w:r>
              <w:rPr>
                <w:color w:val="auto"/>
                <w:sz w:val="24"/>
              </w:rPr>
              <w:t>□</w:t>
            </w:r>
            <w:r>
              <w:rPr>
                <w:rFonts w:hAnsi="宋体"/>
                <w:color w:val="auto"/>
                <w:sz w:val="24"/>
              </w:rPr>
              <w:t>不予批准后再次申报项目</w:t>
            </w:r>
          </w:p>
          <w:p w14:paraId="20C491FB">
            <w:pPr>
              <w:jc w:val="left"/>
              <w:rPr>
                <w:color w:val="auto"/>
                <w:sz w:val="24"/>
              </w:rPr>
            </w:pPr>
            <w:r>
              <w:rPr>
                <w:color w:val="auto"/>
                <w:sz w:val="24"/>
              </w:rPr>
              <w:t>□</w:t>
            </w:r>
            <w:r>
              <w:rPr>
                <w:rFonts w:hAnsi="宋体"/>
                <w:color w:val="auto"/>
                <w:sz w:val="24"/>
              </w:rPr>
              <w:t>超五年重新审核项目</w:t>
            </w:r>
            <w:r>
              <w:rPr>
                <w:color w:val="auto"/>
                <w:sz w:val="24"/>
              </w:rPr>
              <w:t xml:space="preserve">     </w:t>
            </w:r>
          </w:p>
          <w:p w14:paraId="6D87C8EB">
            <w:pPr>
              <w:jc w:val="left"/>
              <w:rPr>
                <w:color w:val="auto"/>
                <w:sz w:val="24"/>
              </w:rPr>
            </w:pPr>
            <w:r>
              <w:rPr>
                <w:color w:val="auto"/>
                <w:sz w:val="24"/>
              </w:rPr>
              <w:t>□</w:t>
            </w:r>
            <w:r>
              <w:rPr>
                <w:rFonts w:hAnsi="宋体"/>
                <w:color w:val="auto"/>
                <w:sz w:val="24"/>
              </w:rPr>
              <w:t>重大变动重新报批项目</w:t>
            </w:r>
          </w:p>
        </w:tc>
      </w:tr>
      <w:tr w14:paraId="1AD494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533" w:type="dxa"/>
            <w:noWrap w:val="0"/>
            <w:tcMar>
              <w:top w:w="16" w:type="dxa"/>
              <w:left w:w="16" w:type="dxa"/>
              <w:right w:w="16" w:type="dxa"/>
            </w:tcMar>
            <w:vAlign w:val="center"/>
          </w:tcPr>
          <w:p w14:paraId="453F1C2D">
            <w:pPr>
              <w:adjustRightInd w:val="0"/>
              <w:snapToGrid w:val="0"/>
              <w:jc w:val="center"/>
              <w:rPr>
                <w:color w:val="auto"/>
                <w:sz w:val="24"/>
              </w:rPr>
            </w:pPr>
            <w:r>
              <w:rPr>
                <w:rFonts w:hAnsi="宋体"/>
                <w:color w:val="auto"/>
                <w:sz w:val="24"/>
              </w:rPr>
              <w:t>项目审批（核准</w:t>
            </w:r>
            <w:r>
              <w:rPr>
                <w:color w:val="auto"/>
                <w:sz w:val="24"/>
              </w:rPr>
              <w:t>/</w:t>
            </w:r>
            <w:r>
              <w:rPr>
                <w:rFonts w:hAnsi="宋体"/>
                <w:color w:val="auto"/>
                <w:sz w:val="24"/>
              </w:rPr>
              <w:t>备案）部门（选填）</w:t>
            </w:r>
          </w:p>
        </w:tc>
        <w:tc>
          <w:tcPr>
            <w:tcW w:w="2939" w:type="dxa"/>
            <w:noWrap w:val="0"/>
            <w:vAlign w:val="center"/>
          </w:tcPr>
          <w:p w14:paraId="3D10CC38">
            <w:pPr>
              <w:adjustRightInd w:val="0"/>
              <w:snapToGrid w:val="0"/>
              <w:jc w:val="center"/>
              <w:rPr>
                <w:rFonts w:hint="eastAsia" w:eastAsia="宋体"/>
                <w:color w:val="auto"/>
                <w:sz w:val="24"/>
                <w:lang w:eastAsia="zh-CN"/>
              </w:rPr>
            </w:pPr>
            <w:r>
              <w:rPr>
                <w:rFonts w:hint="eastAsia" w:hAnsi="宋体" w:cs="Times New Roman"/>
                <w:color w:val="auto"/>
                <w:sz w:val="24"/>
                <w:lang w:val="en-US" w:eastAsia="zh-CN"/>
              </w:rPr>
              <w:t>延津县</w:t>
            </w:r>
            <w:r>
              <w:rPr>
                <w:rFonts w:hint="eastAsia"/>
                <w:color w:val="auto"/>
                <w:sz w:val="24"/>
                <w:lang w:val="en-US" w:eastAsia="zh-CN"/>
              </w:rPr>
              <w:t>发展和改革委员会</w:t>
            </w:r>
          </w:p>
        </w:tc>
        <w:tc>
          <w:tcPr>
            <w:tcW w:w="1424" w:type="dxa"/>
            <w:noWrap w:val="0"/>
            <w:vAlign w:val="center"/>
          </w:tcPr>
          <w:p w14:paraId="0953D106">
            <w:pPr>
              <w:adjustRightInd w:val="0"/>
              <w:snapToGrid w:val="0"/>
              <w:jc w:val="center"/>
              <w:rPr>
                <w:color w:val="auto"/>
                <w:sz w:val="24"/>
              </w:rPr>
            </w:pPr>
            <w:r>
              <w:rPr>
                <w:rFonts w:hAnsi="宋体"/>
                <w:color w:val="auto"/>
                <w:sz w:val="24"/>
              </w:rPr>
              <w:t>项目审批（核准</w:t>
            </w:r>
            <w:r>
              <w:rPr>
                <w:color w:val="auto"/>
                <w:sz w:val="24"/>
              </w:rPr>
              <w:t>/</w:t>
            </w:r>
          </w:p>
          <w:p w14:paraId="4C77E789">
            <w:pPr>
              <w:adjustRightInd w:val="0"/>
              <w:snapToGrid w:val="0"/>
              <w:jc w:val="center"/>
              <w:rPr>
                <w:color w:val="auto"/>
                <w:sz w:val="24"/>
              </w:rPr>
            </w:pPr>
            <w:r>
              <w:rPr>
                <w:rFonts w:hAnsi="宋体"/>
                <w:color w:val="auto"/>
                <w:sz w:val="24"/>
              </w:rPr>
              <w:t>备案）文号（选填）</w:t>
            </w:r>
          </w:p>
        </w:tc>
        <w:tc>
          <w:tcPr>
            <w:tcW w:w="3469" w:type="dxa"/>
            <w:noWrap w:val="0"/>
            <w:vAlign w:val="center"/>
          </w:tcPr>
          <w:p w14:paraId="2B4F6977">
            <w:pPr>
              <w:adjustRightInd w:val="0"/>
              <w:snapToGrid w:val="0"/>
              <w:jc w:val="center"/>
              <w:rPr>
                <w:rFonts w:hint="default" w:eastAsia="宋体"/>
                <w:color w:val="auto"/>
                <w:sz w:val="24"/>
                <w:lang w:val="en-US" w:eastAsia="zh-CN"/>
              </w:rPr>
            </w:pPr>
            <w:r>
              <w:rPr>
                <w:rFonts w:hint="eastAsia"/>
                <w:color w:val="auto"/>
                <w:sz w:val="24"/>
                <w:lang w:val="en-US" w:eastAsia="zh-CN"/>
              </w:rPr>
              <w:t>/</w:t>
            </w:r>
          </w:p>
        </w:tc>
      </w:tr>
      <w:tr w14:paraId="72A8C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6E588A81">
            <w:pPr>
              <w:adjustRightInd w:val="0"/>
              <w:snapToGrid w:val="0"/>
              <w:jc w:val="center"/>
              <w:rPr>
                <w:color w:val="auto"/>
                <w:sz w:val="24"/>
              </w:rPr>
            </w:pPr>
            <w:r>
              <w:rPr>
                <w:rFonts w:hAnsi="宋体"/>
                <w:color w:val="auto"/>
                <w:sz w:val="24"/>
              </w:rPr>
              <w:t>总投资（万元）</w:t>
            </w:r>
          </w:p>
        </w:tc>
        <w:tc>
          <w:tcPr>
            <w:tcW w:w="2939" w:type="dxa"/>
            <w:noWrap w:val="0"/>
            <w:vAlign w:val="center"/>
          </w:tcPr>
          <w:p w14:paraId="2F82C629">
            <w:pPr>
              <w:adjustRightInd w:val="0"/>
              <w:snapToGrid w:val="0"/>
              <w:jc w:val="center"/>
              <w:rPr>
                <w:rFonts w:hint="default" w:eastAsia="宋体"/>
                <w:color w:val="auto"/>
                <w:sz w:val="24"/>
                <w:lang w:val="en-US" w:eastAsia="zh-CN"/>
              </w:rPr>
            </w:pPr>
            <w:r>
              <w:rPr>
                <w:rFonts w:hint="eastAsia"/>
                <w:color w:val="auto"/>
                <w:sz w:val="24"/>
                <w:lang w:val="en-US" w:eastAsia="zh-CN"/>
              </w:rPr>
              <w:t>300</w:t>
            </w:r>
          </w:p>
        </w:tc>
        <w:tc>
          <w:tcPr>
            <w:tcW w:w="1424" w:type="dxa"/>
            <w:noWrap w:val="0"/>
            <w:tcMar>
              <w:top w:w="16" w:type="dxa"/>
              <w:left w:w="16" w:type="dxa"/>
              <w:right w:w="16" w:type="dxa"/>
            </w:tcMar>
            <w:vAlign w:val="center"/>
          </w:tcPr>
          <w:p w14:paraId="4CCD46C0">
            <w:pPr>
              <w:adjustRightInd w:val="0"/>
              <w:snapToGrid w:val="0"/>
              <w:jc w:val="center"/>
              <w:rPr>
                <w:color w:val="auto"/>
                <w:sz w:val="24"/>
              </w:rPr>
            </w:pPr>
            <w:r>
              <w:rPr>
                <w:rFonts w:hAnsi="宋体"/>
                <w:color w:val="auto"/>
                <w:sz w:val="24"/>
              </w:rPr>
              <w:t>环保投资（万元）</w:t>
            </w:r>
          </w:p>
        </w:tc>
        <w:tc>
          <w:tcPr>
            <w:tcW w:w="3469" w:type="dxa"/>
            <w:noWrap w:val="0"/>
            <w:vAlign w:val="center"/>
          </w:tcPr>
          <w:p w14:paraId="25BAE0E0">
            <w:pPr>
              <w:adjustRightInd w:val="0"/>
              <w:snapToGrid w:val="0"/>
              <w:jc w:val="center"/>
              <w:rPr>
                <w:rFonts w:hint="default" w:eastAsia="宋体"/>
                <w:color w:val="auto"/>
                <w:sz w:val="24"/>
                <w:lang w:val="en-US" w:eastAsia="zh-CN"/>
              </w:rPr>
            </w:pPr>
            <w:r>
              <w:rPr>
                <w:rFonts w:hint="eastAsia"/>
                <w:color w:val="auto"/>
                <w:sz w:val="24"/>
                <w:lang w:val="en-US" w:eastAsia="zh-CN"/>
              </w:rPr>
              <w:t>10</w:t>
            </w:r>
          </w:p>
        </w:tc>
      </w:tr>
      <w:tr w14:paraId="41BF3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5AE62393">
            <w:pPr>
              <w:adjustRightInd w:val="0"/>
              <w:snapToGrid w:val="0"/>
              <w:jc w:val="center"/>
              <w:rPr>
                <w:color w:val="auto"/>
                <w:sz w:val="24"/>
              </w:rPr>
            </w:pPr>
            <w:r>
              <w:rPr>
                <w:rFonts w:hAnsi="宋体"/>
                <w:color w:val="auto"/>
                <w:sz w:val="24"/>
              </w:rPr>
              <w:t>环保投资占比（</w:t>
            </w:r>
            <w:r>
              <w:rPr>
                <w:color w:val="auto"/>
                <w:sz w:val="24"/>
              </w:rPr>
              <w:t>%</w:t>
            </w:r>
            <w:r>
              <w:rPr>
                <w:rFonts w:hAnsi="宋体"/>
                <w:color w:val="auto"/>
                <w:sz w:val="24"/>
              </w:rPr>
              <w:t>）</w:t>
            </w:r>
          </w:p>
        </w:tc>
        <w:tc>
          <w:tcPr>
            <w:tcW w:w="2939" w:type="dxa"/>
            <w:noWrap w:val="0"/>
            <w:vAlign w:val="center"/>
          </w:tcPr>
          <w:p w14:paraId="1DE24174">
            <w:pPr>
              <w:adjustRightInd w:val="0"/>
              <w:snapToGrid w:val="0"/>
              <w:jc w:val="center"/>
              <w:rPr>
                <w:rFonts w:hint="default" w:eastAsia="宋体"/>
                <w:color w:val="auto"/>
                <w:sz w:val="24"/>
                <w:lang w:val="en-US" w:eastAsia="zh-CN"/>
              </w:rPr>
            </w:pPr>
            <w:r>
              <w:rPr>
                <w:rFonts w:hint="eastAsia"/>
                <w:color w:val="auto"/>
                <w:sz w:val="24"/>
                <w:lang w:val="en-US" w:eastAsia="zh-CN"/>
              </w:rPr>
              <w:t>3.33</w:t>
            </w:r>
          </w:p>
        </w:tc>
        <w:tc>
          <w:tcPr>
            <w:tcW w:w="1424" w:type="dxa"/>
            <w:noWrap w:val="0"/>
            <w:tcMar>
              <w:top w:w="16" w:type="dxa"/>
              <w:left w:w="16" w:type="dxa"/>
              <w:right w:w="16" w:type="dxa"/>
            </w:tcMar>
            <w:vAlign w:val="center"/>
          </w:tcPr>
          <w:p w14:paraId="77191A01">
            <w:pPr>
              <w:adjustRightInd w:val="0"/>
              <w:snapToGrid w:val="0"/>
              <w:jc w:val="center"/>
              <w:rPr>
                <w:color w:val="auto"/>
                <w:sz w:val="24"/>
              </w:rPr>
            </w:pPr>
            <w:r>
              <w:rPr>
                <w:rFonts w:hAnsi="宋体"/>
                <w:color w:val="auto"/>
                <w:sz w:val="24"/>
              </w:rPr>
              <w:t>施工工期</w:t>
            </w:r>
          </w:p>
        </w:tc>
        <w:tc>
          <w:tcPr>
            <w:tcW w:w="3469" w:type="dxa"/>
            <w:noWrap w:val="0"/>
            <w:vAlign w:val="center"/>
          </w:tcPr>
          <w:p w14:paraId="630C9000">
            <w:pPr>
              <w:adjustRightInd w:val="0"/>
              <w:snapToGrid w:val="0"/>
              <w:jc w:val="center"/>
              <w:rPr>
                <w:rFonts w:hint="default" w:eastAsia="宋体"/>
                <w:color w:val="auto"/>
                <w:sz w:val="24"/>
                <w:lang w:val="en-US" w:eastAsia="zh-CN"/>
              </w:rPr>
            </w:pPr>
            <w:r>
              <w:rPr>
                <w:rFonts w:hint="eastAsia"/>
                <w:color w:val="auto"/>
                <w:sz w:val="24"/>
                <w:lang w:val="en-US" w:eastAsia="zh-CN"/>
              </w:rPr>
              <w:t>3个月</w:t>
            </w:r>
          </w:p>
        </w:tc>
      </w:tr>
      <w:tr w14:paraId="042245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533" w:type="dxa"/>
            <w:noWrap w:val="0"/>
            <w:tcMar>
              <w:top w:w="16" w:type="dxa"/>
              <w:left w:w="16" w:type="dxa"/>
              <w:right w:w="16" w:type="dxa"/>
            </w:tcMar>
            <w:vAlign w:val="center"/>
          </w:tcPr>
          <w:p w14:paraId="49D5A721">
            <w:pPr>
              <w:adjustRightInd w:val="0"/>
              <w:snapToGrid w:val="0"/>
              <w:jc w:val="center"/>
              <w:rPr>
                <w:color w:val="auto"/>
                <w:sz w:val="24"/>
              </w:rPr>
            </w:pPr>
            <w:r>
              <w:rPr>
                <w:rFonts w:hAnsi="宋体"/>
                <w:color w:val="auto"/>
                <w:sz w:val="24"/>
              </w:rPr>
              <w:t>是否开工建设</w:t>
            </w:r>
          </w:p>
        </w:tc>
        <w:tc>
          <w:tcPr>
            <w:tcW w:w="2939" w:type="dxa"/>
            <w:noWrap w:val="0"/>
            <w:vAlign w:val="center"/>
          </w:tcPr>
          <w:p w14:paraId="252E4F16">
            <w:pPr>
              <w:adjustRightInd w:val="0"/>
              <w:snapToGrid w:val="0"/>
              <w:rPr>
                <w:color w:val="auto"/>
                <w:sz w:val="24"/>
              </w:rPr>
            </w:pPr>
            <w:r>
              <w:rPr>
                <w:rFonts w:ascii="Wingdings 2" w:hAnsi="Wingdings 2" w:eastAsia="Wingdings 2" w:cs="Wingdings 2"/>
                <w:color w:val="auto"/>
                <w:sz w:val="24"/>
              </w:rPr>
              <w:t></w:t>
            </w:r>
            <w:r>
              <w:rPr>
                <w:rFonts w:hAnsi="宋体"/>
                <w:color w:val="auto"/>
                <w:sz w:val="24"/>
              </w:rPr>
              <w:t>否</w:t>
            </w:r>
          </w:p>
          <w:p w14:paraId="6D0F531B">
            <w:pPr>
              <w:adjustRightInd w:val="0"/>
              <w:snapToGrid w:val="0"/>
              <w:rPr>
                <w:color w:val="auto"/>
                <w:sz w:val="24"/>
              </w:rPr>
            </w:pPr>
            <w:r>
              <w:rPr>
                <w:color w:val="auto"/>
                <w:sz w:val="24"/>
              </w:rPr>
              <w:sym w:font="Wingdings 2" w:char="00A3"/>
            </w:r>
            <w:r>
              <w:rPr>
                <w:rFonts w:hAnsi="宋体"/>
                <w:color w:val="auto"/>
                <w:sz w:val="24"/>
              </w:rPr>
              <w:t>是：</w:t>
            </w:r>
            <w:r>
              <w:rPr>
                <w:color w:val="auto"/>
                <w:sz w:val="24"/>
                <w:u w:val="single"/>
              </w:rPr>
              <w:t xml:space="preserve">             </w:t>
            </w:r>
          </w:p>
        </w:tc>
        <w:tc>
          <w:tcPr>
            <w:tcW w:w="1424" w:type="dxa"/>
            <w:noWrap w:val="0"/>
            <w:tcMar>
              <w:top w:w="16" w:type="dxa"/>
              <w:left w:w="16" w:type="dxa"/>
              <w:right w:w="16" w:type="dxa"/>
            </w:tcMar>
            <w:vAlign w:val="center"/>
          </w:tcPr>
          <w:p w14:paraId="7D46760A">
            <w:pPr>
              <w:adjustRightInd w:val="0"/>
              <w:snapToGrid w:val="0"/>
              <w:jc w:val="center"/>
              <w:rPr>
                <w:color w:val="auto"/>
                <w:spacing w:val="-6"/>
                <w:sz w:val="24"/>
              </w:rPr>
            </w:pPr>
            <w:r>
              <w:rPr>
                <w:rFonts w:hAnsi="宋体"/>
                <w:color w:val="auto"/>
                <w:spacing w:val="-6"/>
                <w:sz w:val="24"/>
              </w:rPr>
              <w:t>用地面积（</w:t>
            </w:r>
            <w:r>
              <w:rPr>
                <w:color w:val="auto"/>
                <w:spacing w:val="-6"/>
                <w:sz w:val="24"/>
              </w:rPr>
              <w:t>m</w:t>
            </w:r>
            <w:r>
              <w:rPr>
                <w:color w:val="auto"/>
                <w:spacing w:val="-6"/>
                <w:sz w:val="24"/>
                <w:vertAlign w:val="superscript"/>
              </w:rPr>
              <w:t>2</w:t>
            </w:r>
            <w:r>
              <w:rPr>
                <w:rFonts w:hAnsi="宋体"/>
                <w:color w:val="auto"/>
                <w:spacing w:val="-6"/>
                <w:sz w:val="24"/>
              </w:rPr>
              <w:t>）</w:t>
            </w:r>
          </w:p>
        </w:tc>
        <w:tc>
          <w:tcPr>
            <w:tcW w:w="3469" w:type="dxa"/>
            <w:noWrap w:val="0"/>
            <w:vAlign w:val="center"/>
          </w:tcPr>
          <w:p w14:paraId="11F09C14">
            <w:pPr>
              <w:adjustRightInd w:val="0"/>
              <w:snapToGrid w:val="0"/>
              <w:jc w:val="center"/>
              <w:rPr>
                <w:rFonts w:hint="default" w:eastAsia="宋体"/>
                <w:color w:val="auto"/>
                <w:sz w:val="24"/>
                <w:lang w:val="en-US" w:eastAsia="zh-CN"/>
              </w:rPr>
            </w:pPr>
            <w:r>
              <w:rPr>
                <w:rFonts w:hint="eastAsia"/>
                <w:color w:val="auto"/>
                <w:sz w:val="24"/>
                <w:lang w:val="en-US" w:eastAsia="zh-CN"/>
              </w:rPr>
              <w:t>1330</w:t>
            </w:r>
          </w:p>
        </w:tc>
      </w:tr>
      <w:tr w14:paraId="69D488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533" w:type="dxa"/>
            <w:noWrap w:val="0"/>
            <w:vAlign w:val="center"/>
          </w:tcPr>
          <w:p w14:paraId="50C9563E">
            <w:pPr>
              <w:autoSpaceDE w:val="0"/>
              <w:autoSpaceDN w:val="0"/>
              <w:adjustRightInd w:val="0"/>
              <w:snapToGrid w:val="0"/>
              <w:jc w:val="center"/>
              <w:rPr>
                <w:color w:val="auto"/>
                <w:kern w:val="0"/>
                <w:sz w:val="24"/>
              </w:rPr>
            </w:pPr>
            <w:r>
              <w:rPr>
                <w:rFonts w:hAnsi="宋体"/>
                <w:color w:val="auto"/>
                <w:kern w:val="0"/>
                <w:sz w:val="24"/>
              </w:rPr>
              <w:t>专项评价设置情况</w:t>
            </w:r>
          </w:p>
        </w:tc>
        <w:tc>
          <w:tcPr>
            <w:tcW w:w="7832" w:type="dxa"/>
            <w:gridSpan w:val="3"/>
            <w:noWrap w:val="0"/>
            <w:vAlign w:val="center"/>
          </w:tcPr>
          <w:p w14:paraId="4C7BC455">
            <w:pPr>
              <w:autoSpaceDE w:val="0"/>
              <w:autoSpaceDN w:val="0"/>
              <w:adjustRightInd w:val="0"/>
              <w:snapToGrid w:val="0"/>
              <w:jc w:val="center"/>
              <w:rPr>
                <w:color w:val="auto"/>
                <w:kern w:val="0"/>
                <w:sz w:val="24"/>
              </w:rPr>
            </w:pPr>
            <w:r>
              <w:rPr>
                <w:rFonts w:hint="eastAsia"/>
                <w:color w:val="auto"/>
                <w:kern w:val="0"/>
                <w:sz w:val="24"/>
              </w:rPr>
              <w:t>无</w:t>
            </w:r>
          </w:p>
        </w:tc>
      </w:tr>
      <w:tr w14:paraId="176C6D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533" w:type="dxa"/>
            <w:noWrap w:val="0"/>
            <w:vAlign w:val="center"/>
          </w:tcPr>
          <w:p w14:paraId="76AEF244">
            <w:pPr>
              <w:autoSpaceDE w:val="0"/>
              <w:autoSpaceDN w:val="0"/>
              <w:adjustRightInd w:val="0"/>
              <w:snapToGrid w:val="0"/>
              <w:jc w:val="center"/>
              <w:rPr>
                <w:color w:val="auto"/>
                <w:kern w:val="0"/>
                <w:sz w:val="24"/>
              </w:rPr>
            </w:pPr>
            <w:r>
              <w:rPr>
                <w:rFonts w:hAnsi="宋体"/>
                <w:color w:val="auto"/>
                <w:sz w:val="24"/>
              </w:rPr>
              <w:t>规划情况</w:t>
            </w:r>
          </w:p>
        </w:tc>
        <w:tc>
          <w:tcPr>
            <w:tcW w:w="7832" w:type="dxa"/>
            <w:gridSpan w:val="3"/>
            <w:noWrap w:val="0"/>
            <w:vAlign w:val="center"/>
          </w:tcPr>
          <w:p w14:paraId="3BB12DF6">
            <w:pPr>
              <w:autoSpaceDE w:val="0"/>
              <w:autoSpaceDN w:val="0"/>
              <w:adjustRightInd w:val="0"/>
              <w:snapToGrid w:val="0"/>
              <w:spacing w:line="440" w:lineRule="exact"/>
              <w:jc w:val="center"/>
              <w:rPr>
                <w:rFonts w:hint="eastAsia" w:eastAsia="宋体"/>
                <w:color w:val="auto"/>
                <w:kern w:val="0"/>
                <w:sz w:val="24"/>
                <w:lang w:eastAsia="zh-CN"/>
              </w:rPr>
            </w:pPr>
            <w:r>
              <w:rPr>
                <w:rFonts w:hint="eastAsia"/>
                <w:color w:val="auto"/>
                <w:kern w:val="0"/>
                <w:sz w:val="24"/>
                <w:lang w:val="en-US" w:eastAsia="zh-CN"/>
              </w:rPr>
              <w:t>/</w:t>
            </w:r>
          </w:p>
        </w:tc>
      </w:tr>
      <w:tr w14:paraId="7AA380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3" w:type="dxa"/>
            <w:noWrap w:val="0"/>
            <w:vAlign w:val="center"/>
          </w:tcPr>
          <w:p w14:paraId="7AC8ABE4">
            <w:pPr>
              <w:adjustRightInd w:val="0"/>
              <w:snapToGrid w:val="0"/>
              <w:jc w:val="center"/>
              <w:rPr>
                <w:color w:val="auto"/>
                <w:sz w:val="24"/>
              </w:rPr>
            </w:pPr>
            <w:r>
              <w:rPr>
                <w:rFonts w:hAnsi="宋体"/>
                <w:color w:val="auto"/>
                <w:sz w:val="24"/>
              </w:rPr>
              <w:t>规划环境影响评价情况</w:t>
            </w:r>
          </w:p>
        </w:tc>
        <w:tc>
          <w:tcPr>
            <w:tcW w:w="7832" w:type="dxa"/>
            <w:gridSpan w:val="3"/>
            <w:noWrap w:val="0"/>
            <w:vAlign w:val="center"/>
          </w:tcPr>
          <w:p w14:paraId="4BEDF221">
            <w:pPr>
              <w:autoSpaceDE w:val="0"/>
              <w:autoSpaceDN w:val="0"/>
              <w:adjustRightInd w:val="0"/>
              <w:snapToGrid w:val="0"/>
              <w:spacing w:line="440" w:lineRule="exact"/>
              <w:jc w:val="center"/>
              <w:rPr>
                <w:rFonts w:hint="eastAsia" w:eastAsia="宋体"/>
                <w:color w:val="auto"/>
                <w:kern w:val="0"/>
                <w:sz w:val="24"/>
                <w:lang w:eastAsia="zh-CN"/>
              </w:rPr>
            </w:pPr>
            <w:r>
              <w:rPr>
                <w:rFonts w:hint="eastAsia"/>
                <w:color w:val="auto"/>
                <w:kern w:val="0"/>
                <w:sz w:val="24"/>
                <w:lang w:val="en-US" w:eastAsia="zh-CN"/>
              </w:rPr>
              <w:t>/</w:t>
            </w:r>
          </w:p>
        </w:tc>
      </w:tr>
      <w:tr w14:paraId="18E227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33" w:type="dxa"/>
            <w:noWrap w:val="0"/>
            <w:vAlign w:val="center"/>
          </w:tcPr>
          <w:p w14:paraId="1E30ACFF">
            <w:pPr>
              <w:adjustRightInd w:val="0"/>
              <w:snapToGrid w:val="0"/>
              <w:jc w:val="center"/>
              <w:rPr>
                <w:rFonts w:hAnsi="宋体"/>
                <w:color w:val="auto"/>
                <w:sz w:val="24"/>
              </w:rPr>
            </w:pPr>
            <w:r>
              <w:rPr>
                <w:rFonts w:hAnsi="宋体"/>
                <w:color w:val="auto"/>
                <w:kern w:val="0"/>
                <w:sz w:val="24"/>
              </w:rPr>
              <w:t>规划及规划环境影响评价符合性分析</w:t>
            </w:r>
          </w:p>
        </w:tc>
        <w:tc>
          <w:tcPr>
            <w:tcW w:w="7832" w:type="dxa"/>
            <w:gridSpan w:val="3"/>
            <w:noWrap w:val="0"/>
            <w:vAlign w:val="center"/>
          </w:tcPr>
          <w:p w14:paraId="243C5837">
            <w:pPr>
              <w:autoSpaceDE w:val="0"/>
              <w:autoSpaceDN w:val="0"/>
              <w:adjustRightInd w:val="0"/>
              <w:snapToGrid w:val="0"/>
              <w:spacing w:line="440" w:lineRule="exact"/>
              <w:jc w:val="center"/>
              <w:rPr>
                <w:rFonts w:hint="default"/>
                <w:color w:val="auto"/>
                <w:kern w:val="0"/>
                <w:sz w:val="24"/>
                <w:lang w:val="en-US" w:eastAsia="zh-CN"/>
              </w:rPr>
            </w:pPr>
            <w:r>
              <w:rPr>
                <w:rFonts w:hint="eastAsia"/>
                <w:color w:val="auto"/>
                <w:kern w:val="0"/>
                <w:sz w:val="24"/>
                <w:lang w:val="en-US" w:eastAsia="zh-CN"/>
              </w:rPr>
              <w:t>/</w:t>
            </w:r>
          </w:p>
        </w:tc>
      </w:tr>
      <w:tr w14:paraId="5B1C2F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3" w:type="dxa"/>
            <w:noWrap w:val="0"/>
            <w:vAlign w:val="center"/>
          </w:tcPr>
          <w:p w14:paraId="084D6356">
            <w:pPr>
              <w:adjustRightInd w:val="0"/>
              <w:snapToGrid w:val="0"/>
              <w:jc w:val="center"/>
              <w:rPr>
                <w:rFonts w:hint="default" w:hAnsi="宋体" w:eastAsia="宋体"/>
                <w:color w:val="auto"/>
                <w:kern w:val="0"/>
                <w:sz w:val="24"/>
                <w:lang w:val="en-US" w:eastAsia="zh-CN"/>
              </w:rPr>
            </w:pPr>
            <w:r>
              <w:rPr>
                <w:rFonts w:hAnsi="宋体"/>
                <w:color w:val="auto"/>
                <w:kern w:val="0"/>
                <w:sz w:val="24"/>
              </w:rPr>
              <w:t>其他符合性分析</w:t>
            </w:r>
            <w:r>
              <w:rPr>
                <w:rFonts w:hint="eastAsia" w:hAnsi="宋体"/>
                <w:color w:val="auto"/>
                <w:kern w:val="0"/>
                <w:sz w:val="24"/>
                <w:lang w:val="en-US" w:eastAsia="zh-CN"/>
              </w:rPr>
              <w:t xml:space="preserve">                                                                                                                                                                                                                                                                                                                                                                                                                                                                                                                                                                                                                                                                                                                                                                                                                                                                                                                                                                                                                                                                                                 </w:t>
            </w:r>
          </w:p>
        </w:tc>
        <w:tc>
          <w:tcPr>
            <w:tcW w:w="7832" w:type="dxa"/>
            <w:gridSpan w:val="3"/>
            <w:noWrap w:val="0"/>
            <w:vAlign w:val="center"/>
          </w:tcPr>
          <w:p w14:paraId="1D35D13D">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baseline"/>
              <w:rPr>
                <w:rFonts w:hint="eastAsia"/>
                <w:b/>
                <w:bCs/>
                <w:color w:val="auto"/>
                <w:sz w:val="24"/>
              </w:rPr>
            </w:pPr>
            <w:r>
              <w:rPr>
                <w:rFonts w:hint="eastAsia"/>
                <w:b/>
                <w:bCs/>
                <w:color w:val="auto"/>
                <w:sz w:val="24"/>
              </w:rPr>
              <w:t>1、“三线一单”符合性分析</w:t>
            </w:r>
          </w:p>
          <w:p w14:paraId="76904667">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baseline"/>
              <w:rPr>
                <w:rFonts w:hint="eastAsia"/>
                <w:b/>
                <w:bCs/>
                <w:color w:val="auto"/>
                <w:sz w:val="24"/>
              </w:rPr>
            </w:pPr>
            <w:r>
              <w:rPr>
                <w:rFonts w:hint="eastAsia"/>
                <w:b/>
                <w:bCs/>
                <w:color w:val="auto"/>
                <w:sz w:val="24"/>
              </w:rPr>
              <w:t>（1）生态保护红线相符性分析</w:t>
            </w:r>
          </w:p>
          <w:p w14:paraId="646CBEB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baseline"/>
              <w:rPr>
                <w:rFonts w:hint="default" w:ascii="Times New Roman" w:hAnsi="Times New Roman" w:eastAsia="宋体" w:cs="Times New Roman"/>
                <w:color w:val="auto"/>
                <w:sz w:val="24"/>
                <w:szCs w:val="24"/>
                <w:lang w:val="en-US" w:eastAsia="zh-CN"/>
              </w:rPr>
            </w:pPr>
            <w:r>
              <w:rPr>
                <w:color w:val="auto"/>
                <w:sz w:val="24"/>
                <w:highlight w:val="none"/>
              </w:rPr>
              <w:t>本项目位于</w:t>
            </w:r>
            <w:r>
              <w:rPr>
                <w:rFonts w:hint="eastAsia"/>
                <w:color w:val="auto"/>
                <w:sz w:val="24"/>
                <w:szCs w:val="24"/>
                <w:highlight w:val="none"/>
                <w:lang w:val="en-US" w:eastAsia="zh-CN"/>
              </w:rPr>
              <w:t>河南省新乡市延津县石婆固乡西秦庄村012号，</w:t>
            </w:r>
            <w:r>
              <w:rPr>
                <w:rFonts w:hint="default" w:ascii="Times New Roman" w:hAnsi="Times New Roman" w:eastAsia="宋体" w:cs="Times New Roman"/>
                <w:color w:val="auto"/>
                <w:sz w:val="24"/>
                <w:szCs w:val="24"/>
                <w:highlight w:val="none"/>
              </w:rPr>
              <w:t>根据</w:t>
            </w:r>
            <w:r>
              <w:rPr>
                <w:rFonts w:hint="default" w:ascii="Times New Roman" w:hAnsi="Times New Roman" w:eastAsia="宋体" w:cs="Times New Roman"/>
                <w:bCs/>
                <w:color w:val="auto"/>
                <w:sz w:val="24"/>
                <w:szCs w:val="24"/>
                <w:highlight w:val="none"/>
              </w:rPr>
              <w:t>《</w:t>
            </w:r>
            <w:r>
              <w:rPr>
                <w:rFonts w:hint="eastAsia" w:cs="Times New Roman"/>
                <w:bCs/>
                <w:color w:val="auto"/>
                <w:sz w:val="24"/>
                <w:szCs w:val="24"/>
                <w:highlight w:val="none"/>
                <w:lang w:val="en-US" w:eastAsia="zh-CN"/>
              </w:rPr>
              <w:t>河南省生态环境分区管控图</w:t>
            </w:r>
            <w:r>
              <w:rPr>
                <w:rFonts w:hint="default" w:ascii="Times New Roman" w:hAnsi="Times New Roman" w:eastAsia="宋体" w:cs="Times New Roman"/>
                <w:bCs/>
                <w:color w:val="auto"/>
                <w:sz w:val="24"/>
                <w:szCs w:val="24"/>
                <w:highlight w:val="none"/>
              </w:rPr>
              <w:t>》</w:t>
            </w:r>
            <w:r>
              <w:rPr>
                <w:rFonts w:hint="default" w:ascii="Times New Roman" w:hAnsi="Times New Roman" w:eastAsia="宋体" w:cs="Times New Roman"/>
                <w:bCs/>
                <w:color w:val="auto"/>
                <w:sz w:val="24"/>
                <w:szCs w:val="24"/>
                <w:highlight w:val="none"/>
                <w:lang w:val="en-US" w:eastAsia="zh-CN"/>
              </w:rPr>
              <w:t>，</w:t>
            </w:r>
            <w:r>
              <w:rPr>
                <w:rFonts w:hint="default" w:ascii="Times New Roman" w:hAnsi="Times New Roman" w:eastAsia="宋体" w:cs="Times New Roman"/>
                <w:color w:val="auto"/>
                <w:sz w:val="24"/>
                <w:szCs w:val="24"/>
              </w:rPr>
              <w:t>本项目</w:t>
            </w:r>
            <w:r>
              <w:rPr>
                <w:rFonts w:hint="eastAsia" w:cs="Times New Roman"/>
                <w:color w:val="auto"/>
                <w:sz w:val="24"/>
                <w:szCs w:val="24"/>
                <w:lang w:val="en-US" w:eastAsia="zh-CN"/>
              </w:rPr>
              <w:t>租赁</w:t>
            </w:r>
            <w:r>
              <w:rPr>
                <w:rFonts w:hint="default" w:ascii="Times New Roman" w:hAnsi="Times New Roman" w:eastAsia="宋体" w:cs="Times New Roman"/>
                <w:color w:val="auto"/>
                <w:sz w:val="24"/>
                <w:szCs w:val="24"/>
              </w:rPr>
              <w:t>现有车间进行建设，不新增占地。本项目所在地属于重点管控单元，不涉及生态保护红线，</w:t>
            </w:r>
            <w:r>
              <w:rPr>
                <w:rFonts w:hint="eastAsia" w:cs="Times New Roman"/>
                <w:color w:val="auto"/>
                <w:sz w:val="24"/>
                <w:szCs w:val="24"/>
                <w:lang w:val="en-US" w:eastAsia="zh-CN"/>
              </w:rPr>
              <w:t>见图1 河南省生态环境分区管控应用平台研判分析图。</w:t>
            </w:r>
          </w:p>
          <w:p w14:paraId="200A9487">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baseline"/>
              <w:rPr>
                <w:b/>
                <w:color w:val="auto"/>
                <w:sz w:val="24"/>
                <w:highlight w:val="none"/>
              </w:rPr>
            </w:pPr>
            <w:r>
              <w:rPr>
                <w:rFonts w:hAnsi="宋体"/>
                <w:b/>
                <w:color w:val="auto"/>
                <w:sz w:val="24"/>
                <w:highlight w:val="none"/>
              </w:rPr>
              <w:t>（</w:t>
            </w:r>
            <w:r>
              <w:rPr>
                <w:b/>
                <w:color w:val="auto"/>
                <w:sz w:val="24"/>
                <w:highlight w:val="none"/>
              </w:rPr>
              <w:t>2</w:t>
            </w:r>
            <w:r>
              <w:rPr>
                <w:rFonts w:hAnsi="宋体"/>
                <w:b/>
                <w:color w:val="auto"/>
                <w:sz w:val="24"/>
                <w:highlight w:val="none"/>
              </w:rPr>
              <w:t>）环境质量底线相符性分析</w:t>
            </w:r>
          </w:p>
          <w:p w14:paraId="3D9FFD1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baseline"/>
              <w:rPr>
                <w:rFonts w:hint="default" w:hAnsi="宋体"/>
                <w:color w:val="auto"/>
                <w:sz w:val="24"/>
                <w:highlight w:val="none"/>
                <w:lang w:val="en-US" w:eastAsia="zh-CN"/>
              </w:rPr>
            </w:pPr>
            <w:r>
              <w:rPr>
                <w:rFonts w:hint="eastAsia" w:hAnsi="宋体"/>
                <w:color w:val="auto"/>
                <w:sz w:val="24"/>
                <w:highlight w:val="none"/>
                <w:lang w:val="en-US" w:eastAsia="zh-CN"/>
              </w:rPr>
              <w:t>本项目不涉及废气的排放，生活污水经厂区自建化粪池预处理后定期清运，不外排。所产生的废包装袋及不合格电池分别暂存于固废间定期外售。噪声经过基础减振、密闭隔音不会对周边环境产生影响。综上所述，本项目符合环境质量底线。</w:t>
            </w:r>
          </w:p>
          <w:p w14:paraId="108DFA21">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baseline"/>
              <w:rPr>
                <w:b/>
                <w:color w:val="auto"/>
                <w:sz w:val="24"/>
              </w:rPr>
            </w:pPr>
            <w:r>
              <w:rPr>
                <w:rFonts w:hAnsi="宋体"/>
                <w:b/>
                <w:color w:val="auto"/>
                <w:sz w:val="24"/>
              </w:rPr>
              <w:t>（</w:t>
            </w:r>
            <w:r>
              <w:rPr>
                <w:b/>
                <w:color w:val="auto"/>
                <w:sz w:val="24"/>
              </w:rPr>
              <w:t>3</w:t>
            </w:r>
            <w:r>
              <w:rPr>
                <w:rFonts w:hAnsi="宋体"/>
                <w:b/>
                <w:color w:val="auto"/>
                <w:sz w:val="24"/>
              </w:rPr>
              <w:t>）资源利用上线相符性分析</w:t>
            </w:r>
          </w:p>
          <w:p w14:paraId="6F569FD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baseline"/>
              <w:rPr>
                <w:color w:val="auto"/>
                <w:sz w:val="24"/>
              </w:rPr>
            </w:pPr>
            <w:r>
              <w:rPr>
                <w:rFonts w:hAnsi="宋体"/>
                <w:bCs/>
                <w:color w:val="auto"/>
                <w:sz w:val="24"/>
              </w:rPr>
              <w:t>本项目</w:t>
            </w:r>
            <w:r>
              <w:rPr>
                <w:rFonts w:hint="eastAsia" w:hAnsi="宋体"/>
                <w:bCs/>
                <w:color w:val="auto"/>
                <w:sz w:val="24"/>
                <w:lang w:val="en-US" w:eastAsia="zh-CN"/>
              </w:rPr>
              <w:t>用水为生活用水，来自市政供水</w:t>
            </w:r>
            <w:r>
              <w:rPr>
                <w:rFonts w:hAnsi="宋体"/>
                <w:bCs/>
                <w:color w:val="auto"/>
                <w:sz w:val="24"/>
              </w:rPr>
              <w:t>，能源主要为电，由区域市政供电部门统一供电。项目建成运行后通过内部管理、设备选择、原辅材料的选用和管理、废物回收利用、污染治理等多方面采取合理可行的防治措施，以</w:t>
            </w:r>
            <w:r>
              <w:rPr>
                <w:bCs/>
                <w:color w:val="auto"/>
                <w:sz w:val="24"/>
              </w:rPr>
              <w:t>“</w:t>
            </w:r>
            <w:r>
              <w:rPr>
                <w:rFonts w:hAnsi="宋体"/>
                <w:bCs/>
                <w:color w:val="auto"/>
                <w:sz w:val="24"/>
              </w:rPr>
              <w:t>节能、降耗、减污</w:t>
            </w:r>
            <w:r>
              <w:rPr>
                <w:bCs/>
                <w:color w:val="auto"/>
                <w:sz w:val="24"/>
              </w:rPr>
              <w:t>”</w:t>
            </w:r>
            <w:r>
              <w:rPr>
                <w:rFonts w:hAnsi="宋体"/>
                <w:bCs/>
                <w:color w:val="auto"/>
                <w:sz w:val="24"/>
              </w:rPr>
              <w:t>为目标，有效地控制污染。项目的水、电等资源利用不会突破区域的资源利用上线。</w:t>
            </w:r>
          </w:p>
          <w:p w14:paraId="01DCADB2">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baseline"/>
              <w:rPr>
                <w:rFonts w:hAnsi="宋体"/>
                <w:b/>
                <w:bCs/>
                <w:color w:val="auto"/>
                <w:sz w:val="24"/>
              </w:rPr>
            </w:pPr>
            <w:r>
              <w:rPr>
                <w:rFonts w:hAnsi="宋体"/>
                <w:b/>
                <w:bCs/>
                <w:color w:val="auto"/>
                <w:sz w:val="24"/>
              </w:rPr>
              <w:t>（</w:t>
            </w:r>
            <w:r>
              <w:rPr>
                <w:b/>
                <w:bCs/>
                <w:color w:val="auto"/>
                <w:sz w:val="24"/>
              </w:rPr>
              <w:t>4</w:t>
            </w:r>
            <w:r>
              <w:rPr>
                <w:rFonts w:hAnsi="宋体"/>
                <w:b/>
                <w:bCs/>
                <w:color w:val="auto"/>
                <w:sz w:val="24"/>
              </w:rPr>
              <w:t>）生态环境准入清单</w:t>
            </w:r>
          </w:p>
          <w:p w14:paraId="22E8B9AC">
            <w:pPr>
              <w:pStyle w:val="10"/>
              <w:rPr>
                <w:rFonts w:hAnsi="宋体"/>
                <w:b/>
                <w:bCs/>
                <w:color w:val="auto"/>
                <w:sz w:val="24"/>
              </w:rPr>
            </w:pPr>
          </w:p>
          <w:p w14:paraId="2A6F9941">
            <w:pPr>
              <w:pStyle w:val="10"/>
              <w:rPr>
                <w:rFonts w:hAnsi="宋体"/>
                <w:b/>
                <w:bCs/>
                <w:color w:val="auto"/>
                <w:sz w:val="24"/>
              </w:rPr>
            </w:pPr>
          </w:p>
          <w:p w14:paraId="31B5CCA7">
            <w:pPr>
              <w:pStyle w:val="10"/>
              <w:rPr>
                <w:rFonts w:hAnsi="宋体"/>
                <w:b/>
                <w:bCs/>
                <w:color w:val="auto"/>
                <w:sz w:val="24"/>
              </w:rPr>
            </w:pPr>
          </w:p>
          <w:p w14:paraId="769C14EB">
            <w:pPr>
              <w:pStyle w:val="10"/>
              <w:rPr>
                <w:rFonts w:hAnsi="宋体"/>
                <w:b/>
                <w:bCs/>
                <w:color w:val="auto"/>
                <w:sz w:val="24"/>
              </w:rPr>
            </w:pPr>
          </w:p>
          <w:p w14:paraId="4EC50CAD">
            <w:pPr>
              <w:pStyle w:val="10"/>
              <w:rPr>
                <w:rFonts w:hAnsi="宋体"/>
                <w:b/>
                <w:bCs/>
                <w:color w:val="auto"/>
                <w:sz w:val="24"/>
              </w:rPr>
            </w:pPr>
          </w:p>
          <w:p w14:paraId="60612096">
            <w:pPr>
              <w:pStyle w:val="10"/>
              <w:rPr>
                <w:rFonts w:hAnsi="宋体"/>
                <w:b/>
                <w:bCs/>
                <w:color w:val="auto"/>
                <w:sz w:val="24"/>
              </w:rPr>
            </w:pPr>
          </w:p>
          <w:p w14:paraId="465B0D2A">
            <w:pPr>
              <w:pStyle w:val="10"/>
              <w:rPr>
                <w:rFonts w:hAnsi="宋体"/>
                <w:b/>
                <w:bCs/>
                <w:color w:val="auto"/>
                <w:sz w:val="24"/>
              </w:rPr>
            </w:pPr>
          </w:p>
          <w:p w14:paraId="42F2582C">
            <w:pPr>
              <w:pStyle w:val="10"/>
              <w:rPr>
                <w:rFonts w:hAnsi="宋体"/>
                <w:b/>
                <w:bCs/>
                <w:color w:val="auto"/>
                <w:sz w:val="24"/>
              </w:rPr>
            </w:pPr>
          </w:p>
          <w:p w14:paraId="6E89F144">
            <w:pPr>
              <w:pStyle w:val="10"/>
              <w:rPr>
                <w:rFonts w:hAnsi="宋体"/>
                <w:b/>
                <w:bCs/>
                <w:color w:val="auto"/>
                <w:sz w:val="24"/>
              </w:rPr>
            </w:pPr>
          </w:p>
          <w:p w14:paraId="18169048">
            <w:pPr>
              <w:pStyle w:val="10"/>
              <w:rPr>
                <w:rFonts w:hAnsi="宋体"/>
                <w:b/>
                <w:bCs/>
                <w:color w:val="auto"/>
                <w:sz w:val="24"/>
              </w:rPr>
            </w:pPr>
          </w:p>
          <w:p w14:paraId="60903337">
            <w:pPr>
              <w:pStyle w:val="10"/>
              <w:rPr>
                <w:rFonts w:hAnsi="宋体"/>
                <w:b/>
                <w:bCs/>
                <w:color w:val="auto"/>
                <w:sz w:val="24"/>
              </w:rPr>
            </w:pPr>
          </w:p>
          <w:p w14:paraId="552568A2">
            <w:pPr>
              <w:pStyle w:val="10"/>
              <w:rPr>
                <w:rFonts w:hAnsi="宋体"/>
                <w:b/>
                <w:bCs/>
                <w:color w:val="auto"/>
                <w:sz w:val="24"/>
              </w:rPr>
            </w:pPr>
          </w:p>
          <w:p w14:paraId="7A2F985C">
            <w:pPr>
              <w:pStyle w:val="10"/>
              <w:rPr>
                <w:rFonts w:hAnsi="宋体"/>
                <w:b/>
                <w:bCs/>
                <w:color w:val="auto"/>
                <w:sz w:val="24"/>
              </w:rPr>
            </w:pPr>
          </w:p>
          <w:p w14:paraId="69401AB7">
            <w:pPr>
              <w:pStyle w:val="10"/>
              <w:jc w:val="center"/>
              <w:rPr>
                <w:rFonts w:hint="default" w:ascii="Times New Roman" w:hAnsi="Times New Roman" w:eastAsia="黑体" w:cs="Times New Roman"/>
                <w:bCs/>
                <w:color w:val="auto"/>
                <w:sz w:val="24"/>
              </w:rPr>
            </w:pPr>
            <w:r>
              <w:rPr>
                <w:color w:val="auto"/>
                <w:sz w:val="21"/>
              </w:rPr>
              <mc:AlternateContent>
                <mc:Choice Requires="wps">
                  <w:drawing>
                    <wp:anchor distT="0" distB="0" distL="114300" distR="114300" simplePos="0" relativeHeight="251661312" behindDoc="0" locked="0" layoutInCell="1" allowOverlap="1">
                      <wp:simplePos x="0" y="0"/>
                      <wp:positionH relativeFrom="column">
                        <wp:posOffset>3186430</wp:posOffset>
                      </wp:positionH>
                      <wp:positionV relativeFrom="paragraph">
                        <wp:posOffset>1329690</wp:posOffset>
                      </wp:positionV>
                      <wp:extent cx="1014095" cy="340995"/>
                      <wp:effectExtent l="632460" t="6350" r="10795" b="433705"/>
                      <wp:wrapNone/>
                      <wp:docPr id="38" name="圆角矩形标注 38"/>
                      <wp:cNvGraphicFramePr/>
                      <a:graphic xmlns:a="http://schemas.openxmlformats.org/drawingml/2006/main">
                        <a:graphicData uri="http://schemas.microsoft.com/office/word/2010/wordprocessingShape">
                          <wps:wsp>
                            <wps:cNvSpPr/>
                            <wps:spPr>
                              <a:xfrm>
                                <a:off x="4376420" y="2709545"/>
                                <a:ext cx="1014095" cy="340995"/>
                              </a:xfrm>
                              <a:prstGeom prst="wedgeRoundRectCallout">
                                <a:avLst>
                                  <a:gd name="adj1" fmla="val -107670"/>
                                  <a:gd name="adj2" fmla="val 167318"/>
                                  <a:gd name="adj3" fmla="val 1666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64016DDB">
                                  <w:pPr>
                                    <w:jc w:val="center"/>
                                    <w:rPr>
                                      <w:rFonts w:hint="default" w:eastAsia="宋体"/>
                                      <w:lang w:val="en-US" w:eastAsia="zh-CN"/>
                                    </w:rPr>
                                  </w:pPr>
                                  <w:r>
                                    <w:rPr>
                                      <w:rFonts w:hint="eastAsia"/>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50.9pt;margin-top:104.7pt;height:26.85pt;width:79.85pt;z-index:251661312;v-text-anchor:middle;mso-width-relative:page;mso-height-relative:page;" fillcolor="#4874CB [3204]" filled="t" stroked="t" coordsize="21600,21600" o:gfxdata="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RVXTONoAAAALAQAADwAAAAAAAAABACAAAAAi&#10;AAAAZHJzL2Rvd25yZXYueG1sUEsBAhQAFAAAAAgAh07iQDceIoPsAgAAxAUAAA4AAAAAAAAAAQAg&#10;AAAAKQEAAGRycy9lMm9Eb2MueG1sUEsFBgAAAAAGAAYAWQEAAIcGAAAAAA==&#10;" adj="-12457,46941,14400">
                      <v:fill on="t" focussize="0,0"/>
                      <v:stroke weight="1pt" color="#2E54A1 [2404]" miterlimit="8" joinstyle="miter"/>
                      <v:imagedata o:title=""/>
                      <o:lock v:ext="edit" aspectratio="f"/>
                      <v:textbox>
                        <w:txbxContent>
                          <w:p w14:paraId="64016DDB">
                            <w:pPr>
                              <w:jc w:val="center"/>
                              <w:rPr>
                                <w:rFonts w:hint="default" w:eastAsia="宋体"/>
                                <w:lang w:val="en-US" w:eastAsia="zh-CN"/>
                              </w:rPr>
                            </w:pPr>
                            <w:r>
                              <w:rPr>
                                <w:rFonts w:hint="eastAsia"/>
                                <w:lang w:val="en-US" w:eastAsia="zh-CN"/>
                              </w:rPr>
                              <w:t>本项目位置</w:t>
                            </w:r>
                          </w:p>
                        </w:txbxContent>
                      </v:textbox>
                    </v:shape>
                  </w:pict>
                </mc:Fallback>
              </mc:AlternateContent>
            </w:r>
            <w:r>
              <w:rPr>
                <w:rFonts w:hint="eastAsia" w:eastAsia="宋体"/>
                <w:color w:val="auto"/>
                <w:sz w:val="21"/>
                <w:lang w:eastAsia="zh-CN"/>
              </w:rPr>
              <w:drawing>
                <wp:anchor distT="0" distB="0" distL="114300" distR="114300" simplePos="0" relativeHeight="251659264" behindDoc="0" locked="0" layoutInCell="1" allowOverlap="1">
                  <wp:simplePos x="0" y="0"/>
                  <wp:positionH relativeFrom="column">
                    <wp:posOffset>275590</wp:posOffset>
                  </wp:positionH>
                  <wp:positionV relativeFrom="paragraph">
                    <wp:posOffset>481330</wp:posOffset>
                  </wp:positionV>
                  <wp:extent cx="1558290" cy="2395220"/>
                  <wp:effectExtent l="0" t="0" r="3810" b="5080"/>
                  <wp:wrapNone/>
                  <wp:docPr id="36" name="图片 36" descr="29fa1c26-51e4-47b7-a860-c8a92bf071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9fa1c26-51e4-47b7-a860-c8a92bf071a4"/>
                          <pic:cNvPicPr>
                            <a:picLocks noChangeAspect="1"/>
                          </pic:cNvPicPr>
                        </pic:nvPicPr>
                        <pic:blipFill>
                          <a:blip r:embed="rId6"/>
                          <a:stretch>
                            <a:fillRect/>
                          </a:stretch>
                        </pic:blipFill>
                        <pic:spPr>
                          <a:xfrm>
                            <a:off x="0" y="0"/>
                            <a:ext cx="1558290" cy="2395220"/>
                          </a:xfrm>
                          <a:prstGeom prst="rect">
                            <a:avLst/>
                          </a:prstGeom>
                        </pic:spPr>
                      </pic:pic>
                    </a:graphicData>
                  </a:graphic>
                </wp:anchor>
              </w:drawing>
            </w:r>
            <w:r>
              <w:rPr>
                <w:color w:val="auto"/>
              </w:rPr>
              <w:drawing>
                <wp:anchor distT="0" distB="0" distL="114300" distR="114300" simplePos="0" relativeHeight="251660288" behindDoc="0" locked="0" layoutInCell="1" allowOverlap="1">
                  <wp:simplePos x="0" y="0"/>
                  <wp:positionH relativeFrom="column">
                    <wp:posOffset>-36830</wp:posOffset>
                  </wp:positionH>
                  <wp:positionV relativeFrom="paragraph">
                    <wp:posOffset>58420</wp:posOffset>
                  </wp:positionV>
                  <wp:extent cx="4829810" cy="2981325"/>
                  <wp:effectExtent l="0" t="0" r="8890" b="9525"/>
                  <wp:wrapTopAndBottom/>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7"/>
                          <a:stretch>
                            <a:fillRect/>
                          </a:stretch>
                        </pic:blipFill>
                        <pic:spPr>
                          <a:xfrm>
                            <a:off x="0" y="0"/>
                            <a:ext cx="4829810" cy="2981325"/>
                          </a:xfrm>
                          <a:prstGeom prst="rect">
                            <a:avLst/>
                          </a:prstGeom>
                          <a:noFill/>
                          <a:ln>
                            <a:noFill/>
                          </a:ln>
                        </pic:spPr>
                      </pic:pic>
                    </a:graphicData>
                  </a:graphic>
                </wp:anchor>
              </w:drawing>
            </w:r>
            <w:r>
              <w:rPr>
                <w:rFonts w:hint="default" w:ascii="Times New Roman" w:hAnsi="Times New Roman" w:eastAsia="黑体" w:cs="Times New Roman"/>
                <w:bCs/>
                <w:color w:val="auto"/>
                <w:sz w:val="24"/>
              </w:rPr>
              <w:t>图</w:t>
            </w:r>
            <w:r>
              <w:rPr>
                <w:rFonts w:hint="eastAsia" w:eastAsia="黑体" w:cs="Times New Roman"/>
                <w:bCs/>
                <w:color w:val="auto"/>
                <w:sz w:val="24"/>
                <w:lang w:val="en-US" w:eastAsia="zh-CN"/>
              </w:rPr>
              <w:t>1</w:t>
            </w:r>
            <w:r>
              <w:rPr>
                <w:rFonts w:hint="default" w:ascii="Times New Roman" w:hAnsi="Times New Roman" w:eastAsia="黑体" w:cs="Times New Roman"/>
                <w:bCs/>
                <w:color w:val="auto"/>
                <w:sz w:val="24"/>
              </w:rPr>
              <w:t xml:space="preserve"> </w:t>
            </w:r>
            <w:r>
              <w:rPr>
                <w:rFonts w:hint="default" w:ascii="Times New Roman" w:hAnsi="Times New Roman" w:eastAsia="黑体" w:cs="Times New Roman"/>
                <w:bCs/>
                <w:color w:val="auto"/>
                <w:sz w:val="24"/>
                <w:lang w:val="en-US" w:eastAsia="zh-CN"/>
              </w:rPr>
              <w:t xml:space="preserve"> </w:t>
            </w:r>
            <w:r>
              <w:rPr>
                <w:rFonts w:hint="default" w:ascii="Times New Roman" w:hAnsi="Times New Roman" w:eastAsia="黑体" w:cs="Times New Roman"/>
                <w:bCs/>
                <w:color w:val="auto"/>
                <w:sz w:val="24"/>
              </w:rPr>
              <w:t xml:space="preserve"> </w:t>
            </w:r>
            <w:r>
              <w:rPr>
                <w:rFonts w:hint="eastAsia" w:ascii="黑体" w:hAnsi="黑体" w:eastAsia="黑体" w:cs="黑体"/>
                <w:b w:val="0"/>
                <w:bCs w:val="0"/>
                <w:color w:val="auto"/>
                <w:sz w:val="24"/>
                <w:lang w:val="en-US" w:eastAsia="zh-CN"/>
              </w:rPr>
              <w:t>河南省生态环境分区管控应用平台研判分析图</w:t>
            </w:r>
          </w:p>
          <w:p w14:paraId="671A2DF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baseline"/>
              <w:rPr>
                <w:rFonts w:hAnsi="宋体"/>
                <w:bCs/>
                <w:color w:val="auto"/>
                <w:sz w:val="24"/>
              </w:rPr>
            </w:pPr>
            <w:r>
              <w:rPr>
                <w:rFonts w:hint="eastAsia" w:hAnsi="宋体"/>
                <w:bCs/>
                <w:color w:val="auto"/>
                <w:sz w:val="24"/>
                <w:lang w:val="en-US" w:eastAsia="zh-CN"/>
              </w:rPr>
              <w:t>根据图1可知，本项目厂址属于延津县水重点，大气布局敏感区（环境管控单元编码ZH41072620005）。</w:t>
            </w:r>
            <w:r>
              <w:rPr>
                <w:rFonts w:hAnsi="宋体"/>
                <w:bCs/>
                <w:color w:val="auto"/>
                <w:sz w:val="24"/>
              </w:rPr>
              <w:t>本项目与河南省</w:t>
            </w:r>
            <w:r>
              <w:rPr>
                <w:rFonts w:hint="eastAsia" w:hAnsi="宋体"/>
                <w:bCs/>
                <w:color w:val="auto"/>
                <w:sz w:val="24"/>
                <w:lang w:val="en-US" w:eastAsia="zh-CN"/>
              </w:rPr>
              <w:t>及新乡市、延津县</w:t>
            </w:r>
            <w:r>
              <w:rPr>
                <w:rFonts w:hAnsi="宋体"/>
                <w:bCs/>
                <w:color w:val="auto"/>
                <w:sz w:val="24"/>
              </w:rPr>
              <w:t>生态环境准入清单相符性分析见下表。</w:t>
            </w:r>
          </w:p>
          <w:p w14:paraId="18DEEF87">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baseline"/>
              <w:rPr>
                <w:rFonts w:hAnsi="宋体"/>
                <w:bCs/>
                <w:color w:val="auto"/>
                <w:sz w:val="24"/>
              </w:rPr>
            </w:pPr>
            <w:r>
              <w:rPr>
                <w:rFonts w:hAnsi="宋体"/>
                <w:bCs/>
                <w:color w:val="auto"/>
                <w:sz w:val="24"/>
              </w:rPr>
              <w:t>本项目与河南省</w:t>
            </w:r>
            <w:r>
              <w:rPr>
                <w:rFonts w:hint="eastAsia" w:hAnsi="宋体"/>
                <w:bCs/>
                <w:color w:val="auto"/>
                <w:sz w:val="24"/>
                <w:lang w:val="en-US" w:eastAsia="zh-CN"/>
              </w:rPr>
              <w:t>及新乡市</w:t>
            </w:r>
            <w:r>
              <w:rPr>
                <w:rFonts w:hAnsi="宋体"/>
                <w:bCs/>
                <w:color w:val="auto"/>
                <w:sz w:val="24"/>
              </w:rPr>
              <w:t>生态环境准入清单相符性分析见下表。</w:t>
            </w:r>
          </w:p>
          <w:p w14:paraId="5DC6B11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center"/>
              <w:textAlignment w:val="baseline"/>
              <w:rPr>
                <w:rFonts w:hint="default" w:ascii="Times New Roman" w:hAnsi="Times New Roman" w:eastAsia="黑体" w:cs="Times New Roman"/>
                <w:bCs/>
                <w:color w:val="auto"/>
                <w:sz w:val="24"/>
              </w:rPr>
            </w:pPr>
            <w:r>
              <w:rPr>
                <w:rFonts w:hint="default" w:ascii="Times New Roman" w:hAnsi="Times New Roman" w:eastAsia="黑体" w:cs="Times New Roman"/>
                <w:bCs/>
                <w:color w:val="auto"/>
                <w:sz w:val="24"/>
              </w:rPr>
              <w:t>表</w:t>
            </w:r>
            <w:r>
              <w:rPr>
                <w:rFonts w:hint="default" w:ascii="Times New Roman" w:hAnsi="Times New Roman" w:eastAsia="黑体" w:cs="Times New Roman"/>
                <w:bCs/>
                <w:color w:val="auto"/>
                <w:sz w:val="24"/>
                <w:lang w:val="en-US" w:eastAsia="zh-CN"/>
              </w:rPr>
              <w:t>1</w:t>
            </w:r>
            <w:r>
              <w:rPr>
                <w:rFonts w:hint="default" w:ascii="Times New Roman" w:hAnsi="Times New Roman" w:eastAsia="黑体" w:cs="Times New Roman"/>
                <w:bCs/>
                <w:color w:val="auto"/>
                <w:sz w:val="24"/>
              </w:rPr>
              <w:t xml:space="preserve">    本项目与河南省</w:t>
            </w:r>
            <w:r>
              <w:rPr>
                <w:rFonts w:hint="default" w:ascii="Times New Roman" w:hAnsi="Times New Roman" w:eastAsia="黑体" w:cs="Times New Roman"/>
                <w:bCs/>
                <w:color w:val="auto"/>
                <w:sz w:val="24"/>
                <w:lang w:val="en-US" w:eastAsia="zh-CN"/>
              </w:rPr>
              <w:t>及新乡市</w:t>
            </w:r>
            <w:r>
              <w:rPr>
                <w:rFonts w:hint="default" w:ascii="Times New Roman" w:hAnsi="Times New Roman" w:eastAsia="黑体" w:cs="Times New Roman"/>
                <w:bCs/>
                <w:color w:val="auto"/>
                <w:sz w:val="24"/>
              </w:rPr>
              <w:t>生态环境准入清单符合性分析</w:t>
            </w:r>
          </w:p>
          <w:tbl>
            <w:tblPr>
              <w:tblStyle w:val="17"/>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2"/>
              <w:gridCol w:w="640"/>
              <w:gridCol w:w="4035"/>
              <w:gridCol w:w="1696"/>
              <w:gridCol w:w="503"/>
            </w:tblGrid>
            <w:tr w14:paraId="4C31443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7" w:type="pct"/>
                  <w:gridSpan w:val="2"/>
                  <w:tcBorders>
                    <w:top w:val="single" w:color="auto" w:sz="8" w:space="0"/>
                    <w:bottom w:val="single" w:color="auto" w:sz="8" w:space="0"/>
                  </w:tcBorders>
                  <w:noWrap w:val="0"/>
                  <w:vAlign w:val="center"/>
                </w:tcPr>
                <w:p w14:paraId="2BFA7F8C">
                  <w:pPr>
                    <w:adjustRightInd w:val="0"/>
                    <w:snapToGrid w:val="0"/>
                    <w:jc w:val="center"/>
                    <w:textAlignment w:val="baseline"/>
                    <w:rPr>
                      <w:b/>
                      <w:color w:val="auto"/>
                      <w:szCs w:val="21"/>
                    </w:rPr>
                  </w:pPr>
                  <w:r>
                    <w:rPr>
                      <w:rFonts w:hAnsi="宋体"/>
                      <w:b/>
                      <w:color w:val="auto"/>
                      <w:szCs w:val="21"/>
                    </w:rPr>
                    <w:t>要求名称</w:t>
                  </w:r>
                </w:p>
              </w:tc>
              <w:tc>
                <w:tcPr>
                  <w:tcW w:w="2648" w:type="pct"/>
                  <w:tcBorders>
                    <w:top w:val="single" w:color="auto" w:sz="8" w:space="0"/>
                    <w:bottom w:val="single" w:color="auto" w:sz="8" w:space="0"/>
                  </w:tcBorders>
                  <w:noWrap w:val="0"/>
                  <w:vAlign w:val="center"/>
                </w:tcPr>
                <w:p w14:paraId="6C61C794">
                  <w:pPr>
                    <w:adjustRightInd w:val="0"/>
                    <w:snapToGrid w:val="0"/>
                    <w:jc w:val="center"/>
                    <w:textAlignment w:val="baseline"/>
                    <w:rPr>
                      <w:b/>
                      <w:color w:val="auto"/>
                      <w:szCs w:val="21"/>
                    </w:rPr>
                  </w:pPr>
                  <w:r>
                    <w:rPr>
                      <w:rFonts w:hAnsi="宋体"/>
                      <w:b/>
                      <w:color w:val="auto"/>
                      <w:szCs w:val="21"/>
                    </w:rPr>
                    <w:t>具体管控要求</w:t>
                  </w:r>
                </w:p>
              </w:tc>
              <w:tc>
                <w:tcPr>
                  <w:tcW w:w="1113" w:type="pct"/>
                  <w:tcBorders>
                    <w:top w:val="single" w:color="auto" w:sz="8" w:space="0"/>
                    <w:bottom w:val="single" w:color="auto" w:sz="8" w:space="0"/>
                  </w:tcBorders>
                  <w:noWrap w:val="0"/>
                  <w:vAlign w:val="center"/>
                </w:tcPr>
                <w:p w14:paraId="0B4C13DD">
                  <w:pPr>
                    <w:adjustRightInd w:val="0"/>
                    <w:snapToGrid w:val="0"/>
                    <w:jc w:val="center"/>
                    <w:textAlignment w:val="baseline"/>
                    <w:rPr>
                      <w:b/>
                      <w:color w:val="auto"/>
                      <w:szCs w:val="21"/>
                    </w:rPr>
                  </w:pPr>
                  <w:r>
                    <w:rPr>
                      <w:rFonts w:hAnsi="宋体"/>
                      <w:b/>
                      <w:color w:val="auto"/>
                      <w:szCs w:val="21"/>
                    </w:rPr>
                    <w:t>本项目情况</w:t>
                  </w:r>
                </w:p>
              </w:tc>
              <w:tc>
                <w:tcPr>
                  <w:tcW w:w="330" w:type="pct"/>
                  <w:tcBorders>
                    <w:top w:val="single" w:color="auto" w:sz="8" w:space="0"/>
                    <w:bottom w:val="single" w:color="auto" w:sz="8" w:space="0"/>
                  </w:tcBorders>
                  <w:noWrap w:val="0"/>
                  <w:vAlign w:val="center"/>
                </w:tcPr>
                <w:p w14:paraId="5D513DD7">
                  <w:pPr>
                    <w:adjustRightInd w:val="0"/>
                    <w:snapToGrid w:val="0"/>
                    <w:jc w:val="center"/>
                    <w:textAlignment w:val="baseline"/>
                    <w:rPr>
                      <w:b/>
                      <w:color w:val="auto"/>
                      <w:szCs w:val="21"/>
                    </w:rPr>
                  </w:pPr>
                  <w:r>
                    <w:rPr>
                      <w:rFonts w:hAnsi="宋体"/>
                      <w:b/>
                      <w:color w:val="auto"/>
                      <w:szCs w:val="21"/>
                    </w:rPr>
                    <w:t>相符性</w:t>
                  </w:r>
                </w:p>
              </w:tc>
            </w:tr>
            <w:tr w14:paraId="46DFE12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restart"/>
                  <w:tcBorders>
                    <w:right w:val="single" w:color="auto" w:sz="4" w:space="0"/>
                  </w:tcBorders>
                  <w:noWrap w:val="0"/>
                  <w:vAlign w:val="center"/>
                </w:tcPr>
                <w:p w14:paraId="66F8E622">
                  <w:pPr>
                    <w:adjustRightInd w:val="0"/>
                    <w:snapToGrid w:val="0"/>
                    <w:jc w:val="center"/>
                    <w:textAlignment w:val="baseline"/>
                    <w:rPr>
                      <w:rFonts w:hAnsi="宋体"/>
                      <w:color w:val="auto"/>
                      <w:szCs w:val="21"/>
                    </w:rPr>
                  </w:pPr>
                  <w:r>
                    <w:rPr>
                      <w:rFonts w:hAnsi="宋体"/>
                      <w:color w:val="auto"/>
                      <w:szCs w:val="21"/>
                    </w:rPr>
                    <w:t>河南省生态空间总体控制要求</w:t>
                  </w:r>
                </w:p>
              </w:tc>
              <w:tc>
                <w:tcPr>
                  <w:tcW w:w="419" w:type="pct"/>
                  <w:tcBorders>
                    <w:left w:val="single" w:color="auto" w:sz="4" w:space="0"/>
                    <w:right w:val="single" w:color="auto" w:sz="4" w:space="0"/>
                  </w:tcBorders>
                  <w:noWrap w:val="0"/>
                  <w:vAlign w:val="center"/>
                </w:tcPr>
                <w:p w14:paraId="7D1B615E">
                  <w:pPr>
                    <w:adjustRightInd w:val="0"/>
                    <w:snapToGrid w:val="0"/>
                    <w:jc w:val="center"/>
                    <w:textAlignment w:val="baseline"/>
                    <w:rPr>
                      <w:rFonts w:hint="default" w:hAnsi="宋体"/>
                      <w:color w:val="auto"/>
                      <w:szCs w:val="21"/>
                      <w:lang w:val="en-US" w:eastAsia="zh-CN"/>
                    </w:rPr>
                  </w:pPr>
                  <w:r>
                    <w:rPr>
                      <w:rFonts w:hint="eastAsia" w:hAnsi="宋体"/>
                      <w:color w:val="auto"/>
                      <w:szCs w:val="21"/>
                      <w:lang w:val="en-US" w:eastAsia="zh-CN"/>
                    </w:rPr>
                    <w:t>空间布局约束</w:t>
                  </w:r>
                </w:p>
              </w:tc>
              <w:tc>
                <w:tcPr>
                  <w:tcW w:w="2648" w:type="pct"/>
                  <w:tcBorders>
                    <w:left w:val="single" w:color="auto" w:sz="4" w:space="0"/>
                    <w:right w:val="single" w:color="auto" w:sz="4" w:space="0"/>
                  </w:tcBorders>
                  <w:noWrap w:val="0"/>
                  <w:vAlign w:val="center"/>
                </w:tcPr>
                <w:p w14:paraId="37CC1131">
                  <w:pPr>
                    <w:adjustRightInd w:val="0"/>
                    <w:snapToGrid w:val="0"/>
                    <w:jc w:val="center"/>
                    <w:textAlignment w:val="baseline"/>
                    <w:rPr>
                      <w:rFonts w:hAnsi="宋体"/>
                      <w:color w:val="auto"/>
                      <w:szCs w:val="21"/>
                    </w:rPr>
                  </w:pPr>
                  <w:r>
                    <w:rPr>
                      <w:rFonts w:hAnsi="宋体"/>
                      <w:color w:val="auto"/>
                      <w:szCs w:val="21"/>
                    </w:rPr>
                    <w:t>1.根据国家产业政策、区域定位及环境特征等，建立差别化的产业准入要求，鼓励建设符合规划环评的项目。2.推行绿色制造，支持创建绿色工厂、绿色园区、绿色供应链。3.推进新建石化化工项目向资源环境优势基地集中，引导化工项目进区入园，促进高 水平集聚发展。4.强化环境准入约束，坚决遏制“两高一低”项目盲目发展，对不符合规定的项目坚决停批停建。 5.涉及产能置换的项目，被置换产能及其配套设施关停后，新建项目方可投产。6.加快城市建成区内重污染企业就地改造、退城入园、转型转产或关闭退出。7.将土壤环境要求纳入国土空间规划，根据土壤污染状况和风险合理规划土地用途。对列入建设用地土壤污染风险管控和修复名录的地块，不得作为住宅、公共管理与公共 服务用地；不得办理土地征收、回购、收购、土地供应以及改变土地用途等手续。8.在集中供热管网覆盖地区，禁止新建、扩建分散燃煤供热锅炉。</w:t>
                  </w:r>
                </w:p>
              </w:tc>
              <w:tc>
                <w:tcPr>
                  <w:tcW w:w="1113" w:type="pct"/>
                  <w:tcBorders>
                    <w:left w:val="single" w:color="auto" w:sz="4" w:space="0"/>
                    <w:right w:val="single" w:color="auto" w:sz="4" w:space="0"/>
                  </w:tcBorders>
                  <w:noWrap w:val="0"/>
                  <w:vAlign w:val="center"/>
                </w:tcPr>
                <w:p w14:paraId="47D46A4A">
                  <w:pPr>
                    <w:adjustRightInd w:val="0"/>
                    <w:snapToGrid w:val="0"/>
                    <w:jc w:val="both"/>
                    <w:textAlignment w:val="baseline"/>
                    <w:rPr>
                      <w:rFonts w:hint="eastAsia"/>
                      <w:color w:val="auto"/>
                      <w:szCs w:val="21"/>
                      <w:lang w:val="en-US" w:eastAsia="zh-CN"/>
                    </w:rPr>
                  </w:pPr>
                  <w:r>
                    <w:rPr>
                      <w:rFonts w:hint="eastAsia"/>
                      <w:color w:val="auto"/>
                      <w:szCs w:val="21"/>
                      <w:lang w:val="en-US" w:eastAsia="zh-CN"/>
                    </w:rPr>
                    <w:t>1</w:t>
                  </w:r>
                  <w:r>
                    <w:rPr>
                      <w:rFonts w:hint="eastAsia" w:ascii="Times New Roman" w:hAnsi="Times New Roman" w:cs="Times New Roman"/>
                      <w:color w:val="auto"/>
                      <w:szCs w:val="21"/>
                      <w:lang w:val="en-US" w:eastAsia="zh-CN"/>
                    </w:rPr>
                    <w:t>.本项目</w:t>
                  </w:r>
                  <w:r>
                    <w:rPr>
                      <w:rFonts w:hint="eastAsia" w:cs="Times New Roman"/>
                      <w:color w:val="auto"/>
                      <w:szCs w:val="21"/>
                      <w:lang w:val="en-US" w:eastAsia="zh-CN"/>
                    </w:rPr>
                    <w:t>建设地址位于</w:t>
                  </w:r>
                  <w:r>
                    <w:rPr>
                      <w:rFonts w:hint="eastAsia"/>
                      <w:color w:val="auto"/>
                      <w:sz w:val="21"/>
                      <w:szCs w:val="21"/>
                      <w:highlight w:val="none"/>
                      <w:lang w:val="en-US" w:eastAsia="zh-CN"/>
                    </w:rPr>
                    <w:t>河南省新乡市延津县石婆固乡西秦庄村012号，不在规划园区内，不涉及规划环评</w:t>
                  </w:r>
                  <w:r>
                    <w:rPr>
                      <w:rFonts w:hint="eastAsia"/>
                      <w:color w:val="auto"/>
                      <w:szCs w:val="21"/>
                      <w:lang w:val="en-US" w:eastAsia="zh-CN"/>
                    </w:rPr>
                    <w:t>；</w:t>
                  </w:r>
                </w:p>
                <w:p w14:paraId="6B625C6A">
                  <w:pPr>
                    <w:adjustRightInd w:val="0"/>
                    <w:snapToGrid w:val="0"/>
                    <w:jc w:val="both"/>
                    <w:textAlignment w:val="baseline"/>
                    <w:rPr>
                      <w:rFonts w:hint="eastAsia"/>
                      <w:color w:val="auto"/>
                      <w:szCs w:val="21"/>
                      <w:lang w:val="en-US" w:eastAsia="zh-CN"/>
                    </w:rPr>
                  </w:pPr>
                  <w:r>
                    <w:rPr>
                      <w:rFonts w:hint="eastAsia"/>
                      <w:color w:val="auto"/>
                      <w:szCs w:val="21"/>
                      <w:lang w:val="en-US" w:eastAsia="zh-CN"/>
                    </w:rPr>
                    <w:t>2.本项目不涉及；</w:t>
                  </w:r>
                </w:p>
                <w:p w14:paraId="70297A43">
                  <w:pPr>
                    <w:adjustRightInd w:val="0"/>
                    <w:snapToGrid w:val="0"/>
                    <w:jc w:val="both"/>
                    <w:textAlignment w:val="baseline"/>
                    <w:rPr>
                      <w:rFonts w:hint="eastAsia"/>
                      <w:color w:val="auto"/>
                      <w:szCs w:val="21"/>
                      <w:lang w:val="en-US" w:eastAsia="zh-CN"/>
                    </w:rPr>
                  </w:pPr>
                  <w:r>
                    <w:rPr>
                      <w:rFonts w:hint="eastAsia"/>
                      <w:color w:val="auto"/>
                      <w:szCs w:val="21"/>
                      <w:lang w:val="en-US" w:eastAsia="zh-CN"/>
                    </w:rPr>
                    <w:t>3.本项目不涉及；</w:t>
                  </w:r>
                </w:p>
                <w:p w14:paraId="175BFAA7">
                  <w:pPr>
                    <w:adjustRightInd w:val="0"/>
                    <w:snapToGrid w:val="0"/>
                    <w:jc w:val="both"/>
                    <w:textAlignment w:val="baseline"/>
                    <w:rPr>
                      <w:rFonts w:hint="eastAsia"/>
                      <w:color w:val="auto"/>
                      <w:szCs w:val="21"/>
                      <w:lang w:val="en-US" w:eastAsia="zh-CN"/>
                    </w:rPr>
                  </w:pPr>
                  <w:r>
                    <w:rPr>
                      <w:rFonts w:hint="eastAsia"/>
                      <w:color w:val="auto"/>
                      <w:szCs w:val="21"/>
                      <w:lang w:val="en-US" w:eastAsia="zh-CN"/>
                    </w:rPr>
                    <w:t>4.本项目不属于“两高一低”项目；</w:t>
                  </w:r>
                </w:p>
                <w:p w14:paraId="70569D3B">
                  <w:pPr>
                    <w:adjustRightInd w:val="0"/>
                    <w:snapToGrid w:val="0"/>
                    <w:jc w:val="both"/>
                    <w:textAlignment w:val="baseline"/>
                    <w:rPr>
                      <w:rFonts w:hint="eastAsia"/>
                      <w:color w:val="auto"/>
                      <w:szCs w:val="21"/>
                      <w:lang w:val="en-US" w:eastAsia="zh-CN"/>
                    </w:rPr>
                  </w:pPr>
                  <w:r>
                    <w:rPr>
                      <w:rFonts w:hint="eastAsia"/>
                      <w:color w:val="auto"/>
                      <w:szCs w:val="21"/>
                      <w:lang w:val="en-US" w:eastAsia="zh-CN"/>
                    </w:rPr>
                    <w:t>5.本项目不涉及；</w:t>
                  </w:r>
                </w:p>
                <w:p w14:paraId="7C18197C">
                  <w:pPr>
                    <w:adjustRightInd w:val="0"/>
                    <w:snapToGrid w:val="0"/>
                    <w:jc w:val="both"/>
                    <w:textAlignment w:val="baseline"/>
                    <w:rPr>
                      <w:rFonts w:hint="eastAsia"/>
                      <w:color w:val="auto"/>
                      <w:szCs w:val="21"/>
                      <w:lang w:val="en-US" w:eastAsia="zh-CN"/>
                    </w:rPr>
                  </w:pPr>
                  <w:r>
                    <w:rPr>
                      <w:rFonts w:hint="eastAsia"/>
                      <w:color w:val="auto"/>
                      <w:szCs w:val="21"/>
                      <w:lang w:val="en-US" w:eastAsia="zh-CN"/>
                    </w:rPr>
                    <w:t>6.本项目不涉及；</w:t>
                  </w:r>
                </w:p>
                <w:p w14:paraId="176C409A">
                  <w:pPr>
                    <w:adjustRightInd w:val="0"/>
                    <w:snapToGrid w:val="0"/>
                    <w:jc w:val="both"/>
                    <w:textAlignment w:val="baseline"/>
                    <w:rPr>
                      <w:rFonts w:hint="eastAsia"/>
                      <w:color w:val="auto"/>
                      <w:szCs w:val="21"/>
                      <w:lang w:val="en-US" w:eastAsia="zh-CN"/>
                    </w:rPr>
                  </w:pPr>
                  <w:r>
                    <w:rPr>
                      <w:rFonts w:hint="eastAsia"/>
                      <w:color w:val="auto"/>
                      <w:szCs w:val="21"/>
                      <w:lang w:val="en-US" w:eastAsia="zh-CN"/>
                    </w:rPr>
                    <w:t>7.本项目不涉及；</w:t>
                  </w:r>
                </w:p>
                <w:p w14:paraId="7A4A8319">
                  <w:pPr>
                    <w:adjustRightInd w:val="0"/>
                    <w:snapToGrid w:val="0"/>
                    <w:jc w:val="both"/>
                    <w:textAlignment w:val="baseline"/>
                    <w:rPr>
                      <w:rFonts w:hint="default"/>
                      <w:color w:val="auto"/>
                      <w:lang w:val="en-US" w:eastAsia="zh-CN"/>
                    </w:rPr>
                  </w:pPr>
                  <w:r>
                    <w:rPr>
                      <w:rFonts w:hint="eastAsia"/>
                      <w:color w:val="auto"/>
                      <w:szCs w:val="21"/>
                      <w:lang w:val="en-US" w:eastAsia="zh-CN"/>
                    </w:rPr>
                    <w:t>8.本项目不涉及锅炉建设。</w:t>
                  </w:r>
                </w:p>
              </w:tc>
              <w:tc>
                <w:tcPr>
                  <w:tcW w:w="330" w:type="pct"/>
                  <w:tcBorders>
                    <w:left w:val="single" w:color="auto" w:sz="4" w:space="0"/>
                  </w:tcBorders>
                  <w:noWrap w:val="0"/>
                  <w:vAlign w:val="center"/>
                </w:tcPr>
                <w:p w14:paraId="1672D3B7">
                  <w:pPr>
                    <w:adjustRightInd w:val="0"/>
                    <w:snapToGrid w:val="0"/>
                    <w:jc w:val="center"/>
                    <w:textAlignment w:val="baseline"/>
                    <w:rPr>
                      <w:color w:val="auto"/>
                      <w:szCs w:val="21"/>
                    </w:rPr>
                  </w:pPr>
                  <w:r>
                    <w:rPr>
                      <w:rFonts w:hAnsi="宋体"/>
                      <w:color w:val="auto"/>
                      <w:szCs w:val="21"/>
                    </w:rPr>
                    <w:t>符合</w:t>
                  </w:r>
                </w:p>
              </w:tc>
            </w:tr>
            <w:tr w14:paraId="79886B4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57CB02BA">
                  <w:pPr>
                    <w:adjustRightInd w:val="0"/>
                    <w:snapToGrid w:val="0"/>
                    <w:jc w:val="center"/>
                    <w:textAlignment w:val="baseline"/>
                    <w:rPr>
                      <w:rFonts w:hAnsi="宋体"/>
                      <w:color w:val="auto"/>
                      <w:szCs w:val="21"/>
                    </w:rPr>
                  </w:pPr>
                </w:p>
              </w:tc>
              <w:tc>
                <w:tcPr>
                  <w:tcW w:w="419" w:type="pct"/>
                  <w:noWrap w:val="0"/>
                  <w:vAlign w:val="center"/>
                </w:tcPr>
                <w:p w14:paraId="43E90073">
                  <w:pPr>
                    <w:adjustRightInd w:val="0"/>
                    <w:snapToGrid w:val="0"/>
                    <w:jc w:val="center"/>
                    <w:textAlignment w:val="baseline"/>
                    <w:rPr>
                      <w:rFonts w:hint="default" w:hAnsi="宋体"/>
                      <w:color w:val="auto"/>
                      <w:szCs w:val="21"/>
                      <w:lang w:val="en-US" w:eastAsia="zh-CN"/>
                    </w:rPr>
                  </w:pPr>
                  <w:r>
                    <w:rPr>
                      <w:rFonts w:hint="eastAsia" w:hAnsi="宋体"/>
                      <w:color w:val="auto"/>
                      <w:szCs w:val="21"/>
                      <w:lang w:val="en-US" w:eastAsia="zh-CN"/>
                    </w:rPr>
                    <w:t>污染物排放管控</w:t>
                  </w:r>
                </w:p>
              </w:tc>
              <w:tc>
                <w:tcPr>
                  <w:tcW w:w="2648" w:type="pct"/>
                  <w:noWrap w:val="0"/>
                  <w:vAlign w:val="center"/>
                </w:tcPr>
                <w:p w14:paraId="252E3044">
                  <w:pPr>
                    <w:adjustRightInd w:val="0"/>
                    <w:snapToGrid w:val="0"/>
                    <w:jc w:val="center"/>
                    <w:textAlignment w:val="baseline"/>
                    <w:rPr>
                      <w:rFonts w:hint="eastAsia" w:hAnsi="宋体" w:eastAsia="宋体"/>
                      <w:color w:val="auto"/>
                      <w:szCs w:val="21"/>
                      <w:lang w:eastAsia="zh-CN"/>
                    </w:rPr>
                  </w:pPr>
                  <w:r>
                    <w:rPr>
                      <w:rFonts w:hAnsi="宋体"/>
                      <w:color w:val="auto"/>
                      <w:szCs w:val="21"/>
                    </w:rPr>
                    <w:t>1.重点行业建设项目应满足区域、流域控制单元环境质量改善目标管理要求。2.强化项目环评及“三同时”管理。新建、扩建“两高”项目应采用先进的工艺技术和装 备，单位产品污染物排放强度应达到清洁生产先进水平，其中，国家、省绩效分级重点行业新建、扩建项目达到A级水平，改建项目达到B级以上水平。3.以钢铁、焦化、铸造、建材、有色、石化、化工、工业涂装、包装印刷、电镀、制 革、石油开采、造纸、纺织印染、农副食品加工等行业为重点，开展全流程清洁化、循环化、低碳化改造；加快推进钢铁、水泥、焦化行业超低排放改造。4.深入推进低挥发性有机物含量原辅材料源头替代，全面推广使用低挥发性有机物含量的涂料、油墨、胶粘剂、清洗剂等新兴原辅材料。5.采矿项目矿井涌水应尽可能回用生产或综合利用，外排矿井涌水应满足受纳水体水 功能区划和控制断面水质要求；选厂的生产废水及初期雨水、矿石及废石场的淋溶水、尾矿库澄清水及渗滤水应收集回用，不外排。6.新建、扩建开发区、工业园区同步规划建设污水收集和集中处理设施，强化工业废 水处理设施运行管理，确保稳定达标排放；按照“减量化、稳定化、无害化、资源化” 要求，加快城镇污水处理厂污泥处理设施建设，新建污水处理厂必须有明确的污泥处置 途径；依法查处取缔非法污泥堆放点，禁止重金属等污染物不达标的污泥进行土地利用。7.鼓励企业采用先进治理技术，打造行业噪声污染治理示范典型。排放噪声的工业企业应切实采取减振降噪措施，加强厂区内固定设备、运输工具、货物装卸等噪声源管理，同时避免突发噪声扰民</w:t>
                  </w:r>
                  <w:r>
                    <w:rPr>
                      <w:rFonts w:hint="eastAsia" w:hAnsi="宋体"/>
                      <w:color w:val="auto"/>
                      <w:szCs w:val="21"/>
                      <w:lang w:eastAsia="zh-CN"/>
                    </w:rPr>
                    <w:t>。</w:t>
                  </w:r>
                </w:p>
              </w:tc>
              <w:tc>
                <w:tcPr>
                  <w:tcW w:w="1113" w:type="pct"/>
                  <w:noWrap w:val="0"/>
                  <w:vAlign w:val="center"/>
                </w:tcPr>
                <w:p w14:paraId="46119644">
                  <w:pPr>
                    <w:adjustRightInd w:val="0"/>
                    <w:snapToGrid w:val="0"/>
                    <w:jc w:val="both"/>
                    <w:textAlignment w:val="baseline"/>
                    <w:rPr>
                      <w:rFonts w:hint="eastAsia"/>
                      <w:color w:val="auto"/>
                      <w:szCs w:val="21"/>
                      <w:lang w:val="en-US" w:eastAsia="zh-CN"/>
                    </w:rPr>
                  </w:pPr>
                  <w:r>
                    <w:rPr>
                      <w:rFonts w:hint="eastAsia" w:hAnsi="宋体"/>
                      <w:color w:val="auto"/>
                      <w:szCs w:val="21"/>
                      <w:lang w:val="en-US" w:eastAsia="zh-CN"/>
                    </w:rPr>
                    <w:t>1.本项目</w:t>
                  </w:r>
                  <w:r>
                    <w:rPr>
                      <w:rFonts w:hint="eastAsia" w:ascii="Times New Roman" w:hAnsi="Times New Roman" w:cs="Times New Roman"/>
                      <w:color w:val="auto"/>
                      <w:szCs w:val="21"/>
                      <w:lang w:val="en-US" w:eastAsia="zh-CN"/>
                    </w:rPr>
                    <w:t>属于镍氢电池制造行业，</w:t>
                  </w:r>
                  <w:r>
                    <w:rPr>
                      <w:rFonts w:hint="eastAsia"/>
                      <w:color w:val="auto"/>
                      <w:szCs w:val="21"/>
                      <w:lang w:val="en-US" w:eastAsia="zh-CN"/>
                    </w:rPr>
                    <w:t>属于河南省绩效分级重点行业，企业严格按照A级绩效分级要求进行建设生产；</w:t>
                  </w:r>
                </w:p>
                <w:p w14:paraId="24B38263">
                  <w:pPr>
                    <w:adjustRightInd w:val="0"/>
                    <w:snapToGrid w:val="0"/>
                    <w:jc w:val="both"/>
                    <w:textAlignment w:val="baseline"/>
                    <w:rPr>
                      <w:rFonts w:hint="eastAsia"/>
                      <w:color w:val="auto"/>
                      <w:szCs w:val="21"/>
                      <w:lang w:val="en-US" w:eastAsia="zh-CN"/>
                    </w:rPr>
                  </w:pPr>
                  <w:r>
                    <w:rPr>
                      <w:rFonts w:hint="eastAsia"/>
                      <w:color w:val="auto"/>
                      <w:szCs w:val="21"/>
                      <w:lang w:val="en-US" w:eastAsia="zh-CN"/>
                    </w:rPr>
                    <w:t>2.本项目不属于“两高”项目；</w:t>
                  </w:r>
                </w:p>
                <w:p w14:paraId="637F21B9">
                  <w:pPr>
                    <w:adjustRightInd w:val="0"/>
                    <w:snapToGrid w:val="0"/>
                    <w:jc w:val="both"/>
                    <w:textAlignment w:val="baseline"/>
                    <w:rPr>
                      <w:rFonts w:hint="eastAsia"/>
                      <w:color w:val="auto"/>
                      <w:szCs w:val="21"/>
                      <w:lang w:val="en-US" w:eastAsia="zh-CN"/>
                    </w:rPr>
                  </w:pPr>
                  <w:r>
                    <w:rPr>
                      <w:rFonts w:hint="eastAsia"/>
                      <w:color w:val="auto"/>
                      <w:szCs w:val="21"/>
                      <w:lang w:val="en-US" w:eastAsia="zh-CN"/>
                    </w:rPr>
                    <w:t>3.本项目不涉及；</w:t>
                  </w:r>
                </w:p>
                <w:p w14:paraId="2B7FBA0C">
                  <w:pPr>
                    <w:adjustRightInd w:val="0"/>
                    <w:snapToGrid w:val="0"/>
                    <w:jc w:val="both"/>
                    <w:textAlignment w:val="baseline"/>
                    <w:rPr>
                      <w:rFonts w:hint="eastAsia"/>
                      <w:color w:val="auto"/>
                      <w:szCs w:val="21"/>
                      <w:lang w:val="en-US" w:eastAsia="zh-CN"/>
                    </w:rPr>
                  </w:pPr>
                  <w:r>
                    <w:rPr>
                      <w:rFonts w:hint="eastAsia"/>
                      <w:color w:val="auto"/>
                      <w:szCs w:val="21"/>
                      <w:lang w:val="en-US" w:eastAsia="zh-CN"/>
                    </w:rPr>
                    <w:t>4.本项目不涉及含挥发性有机物原辅料的使用；</w:t>
                  </w:r>
                </w:p>
                <w:p w14:paraId="05773E38">
                  <w:pPr>
                    <w:adjustRightInd w:val="0"/>
                    <w:snapToGrid w:val="0"/>
                    <w:jc w:val="both"/>
                    <w:textAlignment w:val="baseline"/>
                    <w:rPr>
                      <w:rFonts w:hint="eastAsia"/>
                      <w:color w:val="auto"/>
                      <w:szCs w:val="21"/>
                      <w:lang w:val="en-US" w:eastAsia="zh-CN"/>
                    </w:rPr>
                  </w:pPr>
                  <w:r>
                    <w:rPr>
                      <w:rFonts w:hint="eastAsia"/>
                      <w:color w:val="auto"/>
                      <w:szCs w:val="21"/>
                      <w:lang w:val="en-US" w:eastAsia="zh-CN"/>
                    </w:rPr>
                    <w:t>5.本项目不涉及；</w:t>
                  </w:r>
                </w:p>
                <w:p w14:paraId="5E1D3DDB">
                  <w:pPr>
                    <w:adjustRightInd w:val="0"/>
                    <w:snapToGrid w:val="0"/>
                    <w:jc w:val="both"/>
                    <w:textAlignment w:val="baseline"/>
                    <w:rPr>
                      <w:rFonts w:hint="eastAsia"/>
                      <w:color w:val="auto"/>
                      <w:szCs w:val="21"/>
                      <w:lang w:val="en-US" w:eastAsia="zh-CN"/>
                    </w:rPr>
                  </w:pPr>
                  <w:r>
                    <w:rPr>
                      <w:rFonts w:hint="eastAsia"/>
                      <w:color w:val="auto"/>
                      <w:szCs w:val="21"/>
                      <w:lang w:val="en-US" w:eastAsia="zh-CN"/>
                    </w:rPr>
                    <w:t>6.本项目位于河南省新乡市延津县石婆固乡西秦庄村012号，不涉及开发区、工业园区建设，厂区无废水外排；</w:t>
                  </w:r>
                </w:p>
                <w:p w14:paraId="3C5D388D">
                  <w:pPr>
                    <w:adjustRightInd w:val="0"/>
                    <w:snapToGrid w:val="0"/>
                    <w:jc w:val="both"/>
                    <w:textAlignment w:val="baseline"/>
                    <w:rPr>
                      <w:rFonts w:hint="default" w:hAnsi="宋体" w:eastAsia="宋体"/>
                      <w:color w:val="auto"/>
                      <w:szCs w:val="21"/>
                      <w:lang w:val="en-US" w:eastAsia="zh-CN"/>
                    </w:rPr>
                  </w:pPr>
                  <w:r>
                    <w:rPr>
                      <w:rFonts w:hint="eastAsia"/>
                      <w:color w:val="auto"/>
                      <w:szCs w:val="21"/>
                      <w:lang w:val="en-US" w:eastAsia="zh-CN"/>
                    </w:rPr>
                    <w:t>7.厂区产噪设备采取厂房密闭、基础减震措施来减少噪声对周边居民的影响。</w:t>
                  </w:r>
                </w:p>
              </w:tc>
              <w:tc>
                <w:tcPr>
                  <w:tcW w:w="330" w:type="pct"/>
                  <w:noWrap w:val="0"/>
                  <w:vAlign w:val="center"/>
                </w:tcPr>
                <w:p w14:paraId="4B3A1976">
                  <w:pPr>
                    <w:adjustRightInd w:val="0"/>
                    <w:snapToGrid w:val="0"/>
                    <w:jc w:val="center"/>
                    <w:textAlignment w:val="baseline"/>
                    <w:rPr>
                      <w:rFonts w:hAnsi="宋体"/>
                      <w:color w:val="auto"/>
                      <w:szCs w:val="21"/>
                    </w:rPr>
                  </w:pPr>
                  <w:r>
                    <w:rPr>
                      <w:rFonts w:hAnsi="宋体"/>
                      <w:color w:val="auto"/>
                      <w:szCs w:val="21"/>
                    </w:rPr>
                    <w:t>符合</w:t>
                  </w:r>
                </w:p>
              </w:tc>
            </w:tr>
            <w:tr w14:paraId="77D870C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4D4D385A">
                  <w:pPr>
                    <w:adjustRightInd w:val="0"/>
                    <w:snapToGrid w:val="0"/>
                    <w:jc w:val="center"/>
                    <w:textAlignment w:val="baseline"/>
                    <w:rPr>
                      <w:rFonts w:hAnsi="宋体"/>
                      <w:color w:val="auto"/>
                      <w:szCs w:val="21"/>
                    </w:rPr>
                  </w:pPr>
                </w:p>
              </w:tc>
              <w:tc>
                <w:tcPr>
                  <w:tcW w:w="419" w:type="pct"/>
                  <w:noWrap w:val="0"/>
                  <w:vAlign w:val="center"/>
                </w:tcPr>
                <w:p w14:paraId="47AB56E7">
                  <w:pPr>
                    <w:adjustRightInd w:val="0"/>
                    <w:snapToGrid w:val="0"/>
                    <w:jc w:val="center"/>
                    <w:textAlignment w:val="baseline"/>
                    <w:rPr>
                      <w:rFonts w:hint="default" w:hAnsi="宋体"/>
                      <w:color w:val="auto"/>
                      <w:szCs w:val="21"/>
                      <w:lang w:val="en-US" w:eastAsia="zh-CN"/>
                    </w:rPr>
                  </w:pPr>
                  <w:r>
                    <w:rPr>
                      <w:rFonts w:hint="eastAsia" w:hAnsi="宋体"/>
                      <w:color w:val="auto"/>
                      <w:szCs w:val="21"/>
                      <w:lang w:val="en-US" w:eastAsia="zh-CN"/>
                    </w:rPr>
                    <w:t>环境风险防控</w:t>
                  </w:r>
                </w:p>
              </w:tc>
              <w:tc>
                <w:tcPr>
                  <w:tcW w:w="2648" w:type="pct"/>
                  <w:noWrap w:val="0"/>
                  <w:vAlign w:val="center"/>
                </w:tcPr>
                <w:p w14:paraId="099C42E9">
                  <w:pPr>
                    <w:adjustRightInd w:val="0"/>
                    <w:snapToGrid w:val="0"/>
                    <w:jc w:val="center"/>
                    <w:textAlignment w:val="baseline"/>
                    <w:rPr>
                      <w:rFonts w:hAnsi="宋体"/>
                      <w:color w:val="auto"/>
                      <w:szCs w:val="21"/>
                    </w:rPr>
                  </w:pPr>
                  <w:r>
                    <w:rPr>
                      <w:rFonts w:hAnsi="宋体"/>
                      <w:color w:val="auto"/>
                      <w:szCs w:val="21"/>
                    </w:rPr>
                    <w:t>1.依法推行农用地分类管理制度，强化受污染耕地安全利用和风险管控；用途变更为住宅、公共管理与公共服务用地及有土壤污染风险的建设用地地块，应当依法开展土壤污染状况调查；污染地块经治理与修复，并符合相应规划用地土壤环境质量要求后，方可进入用地程序；合理规划污染地块土地用途，鼓励农药、化工等行业中重度污染地块 优先规划用于拓展生态空间。2.以涉重涉危及有毒有害等行业企业为重点，加强水环境风险日常监管；推进涉水企业的环境风险排查整治、风险预防设施设备建设；制定水环境污染事故处置应急预案，加强上下游联防联控，防范跨界水环境风险，提升环境应急处置能力。3.化工园区内涉及有毒有害物质的重点场所或者重点设施设备（特别是地下储罐、管 网等）应进行防渗漏设计和建设，消除土壤和地下水污染隐患；建立完善的生态环境监 测监控和风险预警体系，相关监测监控数据应接入地方监测预警系统；建立满足突发环 境事件情形下应急处置需求的应急救援体系、预案、平台和专职应急救援队伍，配备符 合相关国家标准、行业标准要求的人员和装备</w:t>
                  </w:r>
                </w:p>
              </w:tc>
              <w:tc>
                <w:tcPr>
                  <w:tcW w:w="1113" w:type="pct"/>
                  <w:noWrap w:val="0"/>
                  <w:vAlign w:val="center"/>
                </w:tcPr>
                <w:p w14:paraId="2810B509">
                  <w:pPr>
                    <w:adjustRightInd w:val="0"/>
                    <w:snapToGrid w:val="0"/>
                    <w:jc w:val="both"/>
                    <w:textAlignment w:val="baseline"/>
                    <w:rPr>
                      <w:rFonts w:hint="eastAsia"/>
                      <w:color w:val="auto"/>
                      <w:szCs w:val="21"/>
                      <w:lang w:val="en-US" w:eastAsia="zh-CN"/>
                    </w:rPr>
                  </w:pPr>
                  <w:r>
                    <w:rPr>
                      <w:rFonts w:hint="eastAsia"/>
                      <w:color w:val="auto"/>
                      <w:szCs w:val="21"/>
                      <w:lang w:val="en-US" w:eastAsia="zh-CN"/>
                    </w:rPr>
                    <w:t>1.本项目不涉及；</w:t>
                  </w:r>
                </w:p>
                <w:p w14:paraId="67DD20E6">
                  <w:pPr>
                    <w:adjustRightInd w:val="0"/>
                    <w:snapToGrid w:val="0"/>
                    <w:jc w:val="both"/>
                    <w:textAlignment w:val="baseline"/>
                    <w:rPr>
                      <w:rFonts w:hint="eastAsia"/>
                      <w:color w:val="auto"/>
                      <w:szCs w:val="21"/>
                      <w:lang w:val="en-US" w:eastAsia="zh-CN"/>
                    </w:rPr>
                  </w:pPr>
                  <w:r>
                    <w:rPr>
                      <w:rFonts w:hint="eastAsia"/>
                      <w:color w:val="auto"/>
                      <w:szCs w:val="21"/>
                      <w:lang w:val="en-US" w:eastAsia="zh-CN"/>
                    </w:rPr>
                    <w:t>2.本项目属于镍氢电池制造行业，生产从组装工艺开始，正负极片均进购成品，项目生产过程中使用的电解液为氢氧化钾溶液，属于风险物质，应储存在专用仓库中，并做好防渗措施；</w:t>
                  </w:r>
                </w:p>
                <w:p w14:paraId="6738942F">
                  <w:pPr>
                    <w:adjustRightInd w:val="0"/>
                    <w:snapToGrid w:val="0"/>
                    <w:jc w:val="both"/>
                    <w:textAlignment w:val="baseline"/>
                    <w:rPr>
                      <w:rFonts w:hint="default" w:eastAsia="宋体"/>
                      <w:color w:val="auto"/>
                      <w:szCs w:val="21"/>
                      <w:lang w:val="en-US" w:eastAsia="zh-CN"/>
                    </w:rPr>
                  </w:pPr>
                  <w:r>
                    <w:rPr>
                      <w:rFonts w:hint="eastAsia"/>
                      <w:color w:val="auto"/>
                      <w:szCs w:val="21"/>
                      <w:lang w:val="en-US" w:eastAsia="zh-CN"/>
                    </w:rPr>
                    <w:t>3.本项目不涉及；</w:t>
                  </w:r>
                </w:p>
              </w:tc>
              <w:tc>
                <w:tcPr>
                  <w:tcW w:w="330" w:type="pct"/>
                  <w:noWrap w:val="0"/>
                  <w:vAlign w:val="center"/>
                </w:tcPr>
                <w:p w14:paraId="3880E00D">
                  <w:pPr>
                    <w:adjustRightInd w:val="0"/>
                    <w:snapToGrid w:val="0"/>
                    <w:jc w:val="center"/>
                    <w:textAlignment w:val="baseline"/>
                    <w:rPr>
                      <w:rFonts w:hAnsi="宋体"/>
                      <w:color w:val="auto"/>
                      <w:szCs w:val="21"/>
                    </w:rPr>
                  </w:pPr>
                  <w:r>
                    <w:rPr>
                      <w:rFonts w:hAnsi="宋体"/>
                      <w:color w:val="auto"/>
                      <w:szCs w:val="21"/>
                    </w:rPr>
                    <w:t>符合</w:t>
                  </w:r>
                </w:p>
              </w:tc>
            </w:tr>
            <w:tr w14:paraId="3C3A2B6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055BC29A">
                  <w:pPr>
                    <w:adjustRightInd w:val="0"/>
                    <w:snapToGrid w:val="0"/>
                    <w:jc w:val="center"/>
                    <w:textAlignment w:val="baseline"/>
                    <w:rPr>
                      <w:rFonts w:hAnsi="宋体"/>
                      <w:color w:val="auto"/>
                      <w:szCs w:val="21"/>
                    </w:rPr>
                  </w:pPr>
                </w:p>
              </w:tc>
              <w:tc>
                <w:tcPr>
                  <w:tcW w:w="419" w:type="pct"/>
                  <w:noWrap w:val="0"/>
                  <w:vAlign w:val="center"/>
                </w:tcPr>
                <w:p w14:paraId="7AB42963">
                  <w:pPr>
                    <w:adjustRightInd w:val="0"/>
                    <w:snapToGrid w:val="0"/>
                    <w:jc w:val="center"/>
                    <w:textAlignment w:val="baseline"/>
                    <w:rPr>
                      <w:rFonts w:hint="default" w:hAnsi="宋体"/>
                      <w:color w:val="auto"/>
                      <w:szCs w:val="21"/>
                      <w:lang w:val="en-US" w:eastAsia="zh-CN"/>
                    </w:rPr>
                  </w:pPr>
                  <w:r>
                    <w:rPr>
                      <w:rFonts w:hint="eastAsia" w:hAnsi="宋体"/>
                      <w:color w:val="auto"/>
                      <w:szCs w:val="21"/>
                      <w:lang w:val="en-US" w:eastAsia="zh-CN"/>
                    </w:rPr>
                    <w:t>资源利用效率</w:t>
                  </w:r>
                </w:p>
              </w:tc>
              <w:tc>
                <w:tcPr>
                  <w:tcW w:w="2648" w:type="pct"/>
                  <w:noWrap w:val="0"/>
                  <w:vAlign w:val="center"/>
                </w:tcPr>
                <w:p w14:paraId="1B147676">
                  <w:pPr>
                    <w:adjustRightInd w:val="0"/>
                    <w:snapToGrid w:val="0"/>
                    <w:jc w:val="center"/>
                    <w:textAlignment w:val="baseline"/>
                    <w:rPr>
                      <w:rFonts w:hint="eastAsia" w:hAnsi="宋体" w:eastAsia="宋体"/>
                      <w:color w:val="auto"/>
                      <w:szCs w:val="21"/>
                      <w:lang w:eastAsia="zh-CN"/>
                    </w:rPr>
                  </w:pPr>
                  <w:r>
                    <w:rPr>
                      <w:rFonts w:hAnsi="宋体"/>
                      <w:color w:val="auto"/>
                      <w:szCs w:val="21"/>
                    </w:rPr>
                    <w:t>1. “十四五”时期，规模以上工业单位增加值能耗下降18%，万元工业增加值用水量下降10%。2.新建、扩建“两高”项目单位产品物耗、能耗、水耗等达到清洁生产先进水平。3.实施重点领域节能降碳改造，到2025年钢铁、电解铝、水泥、炼油、乙烯、焦化等重点行业产能达到能效标杆水平的比例超过30%，行业整体能效水平明显提升，碳排放强度明显下降，绿色低碳发展能力显著增强。4.对以煤、石油焦、渣油、重油等为燃料的锅炉和工业炉窑，加快使用工业余热、电厂热力、清洁能源等进行替代。5.除应急取（排）水、地下水监测外，在地下水禁采区内，禁止取用地下水；在地下水限采区内，禁止开凿新的取水井或者增加地下水取水量</w:t>
                  </w:r>
                  <w:r>
                    <w:rPr>
                      <w:rFonts w:hint="eastAsia" w:hAnsi="宋体"/>
                      <w:color w:val="auto"/>
                      <w:szCs w:val="21"/>
                      <w:lang w:eastAsia="zh-CN"/>
                    </w:rPr>
                    <w:t>。</w:t>
                  </w:r>
                </w:p>
              </w:tc>
              <w:tc>
                <w:tcPr>
                  <w:tcW w:w="1113" w:type="pct"/>
                  <w:noWrap w:val="0"/>
                  <w:vAlign w:val="center"/>
                </w:tcPr>
                <w:p w14:paraId="655E3D7A">
                  <w:pPr>
                    <w:adjustRightInd w:val="0"/>
                    <w:snapToGrid w:val="0"/>
                    <w:jc w:val="both"/>
                    <w:textAlignment w:val="baseline"/>
                    <w:rPr>
                      <w:rFonts w:hint="eastAsia"/>
                      <w:color w:val="auto"/>
                      <w:szCs w:val="21"/>
                      <w:lang w:val="en-US" w:eastAsia="zh-CN"/>
                    </w:rPr>
                  </w:pPr>
                  <w:r>
                    <w:rPr>
                      <w:rFonts w:hint="eastAsia"/>
                      <w:color w:val="auto"/>
                      <w:szCs w:val="21"/>
                      <w:lang w:val="en-US" w:eastAsia="zh-CN"/>
                    </w:rPr>
                    <w:t>1.本项目不涉及；</w:t>
                  </w:r>
                </w:p>
                <w:p w14:paraId="3508FCAC">
                  <w:pPr>
                    <w:pStyle w:val="10"/>
                    <w:ind w:left="0" w:leftChars="0" w:firstLine="0" w:firstLineChars="0"/>
                    <w:jc w:val="both"/>
                    <w:rPr>
                      <w:rFonts w:hint="eastAsia"/>
                      <w:color w:val="auto"/>
                      <w:szCs w:val="21"/>
                      <w:lang w:val="en-US" w:eastAsia="zh-CN"/>
                    </w:rPr>
                  </w:pPr>
                  <w:r>
                    <w:rPr>
                      <w:rFonts w:hint="eastAsia"/>
                      <w:color w:val="auto"/>
                      <w:szCs w:val="21"/>
                      <w:lang w:val="en-US" w:eastAsia="zh-CN"/>
                    </w:rPr>
                    <w:t>2.本项目不属于“两高”项目；</w:t>
                  </w:r>
                </w:p>
                <w:p w14:paraId="1A1F3109">
                  <w:pPr>
                    <w:jc w:val="both"/>
                    <w:rPr>
                      <w:rFonts w:hint="eastAsia"/>
                      <w:color w:val="auto"/>
                      <w:szCs w:val="21"/>
                      <w:lang w:val="en-US" w:eastAsia="zh-CN"/>
                    </w:rPr>
                  </w:pPr>
                  <w:r>
                    <w:rPr>
                      <w:rFonts w:hint="eastAsia"/>
                      <w:color w:val="auto"/>
                      <w:szCs w:val="21"/>
                      <w:lang w:val="en-US" w:eastAsia="zh-CN"/>
                    </w:rPr>
                    <w:t>3.本项目不涉及；</w:t>
                  </w:r>
                </w:p>
                <w:p w14:paraId="443FB3B0">
                  <w:pPr>
                    <w:jc w:val="both"/>
                    <w:rPr>
                      <w:rFonts w:hint="eastAsia"/>
                      <w:color w:val="auto"/>
                      <w:szCs w:val="21"/>
                      <w:lang w:val="en-US" w:eastAsia="zh-CN"/>
                    </w:rPr>
                  </w:pPr>
                  <w:r>
                    <w:rPr>
                      <w:rFonts w:hint="eastAsia"/>
                      <w:color w:val="auto"/>
                      <w:szCs w:val="21"/>
                      <w:lang w:val="en-US" w:eastAsia="zh-CN"/>
                    </w:rPr>
                    <w:t>4.本项目不涉及；</w:t>
                  </w:r>
                </w:p>
                <w:p w14:paraId="51C5DE93">
                  <w:pPr>
                    <w:jc w:val="both"/>
                    <w:rPr>
                      <w:rFonts w:hint="eastAsia" w:eastAsia="宋体"/>
                      <w:color w:val="auto"/>
                      <w:lang w:val="en-US" w:eastAsia="zh-CN"/>
                    </w:rPr>
                  </w:pPr>
                  <w:r>
                    <w:rPr>
                      <w:rFonts w:hint="eastAsia"/>
                      <w:color w:val="auto"/>
                      <w:lang w:val="en-US" w:eastAsia="zh-CN"/>
                    </w:rPr>
                    <w:t>5.本项目不属于地下水禁采区和地下水</w:t>
                  </w:r>
                  <w:r>
                    <w:rPr>
                      <w:rFonts w:hAnsi="宋体"/>
                      <w:color w:val="auto"/>
                      <w:szCs w:val="21"/>
                    </w:rPr>
                    <w:t>限采区内</w:t>
                  </w:r>
                  <w:r>
                    <w:rPr>
                      <w:rFonts w:hint="eastAsia" w:hAnsi="宋体"/>
                      <w:color w:val="auto"/>
                      <w:szCs w:val="21"/>
                      <w:lang w:eastAsia="zh-CN"/>
                    </w:rPr>
                    <w:t>。</w:t>
                  </w:r>
                </w:p>
              </w:tc>
              <w:tc>
                <w:tcPr>
                  <w:tcW w:w="330" w:type="pct"/>
                  <w:noWrap w:val="0"/>
                  <w:vAlign w:val="center"/>
                </w:tcPr>
                <w:p w14:paraId="769802D5">
                  <w:pPr>
                    <w:adjustRightInd w:val="0"/>
                    <w:snapToGrid w:val="0"/>
                    <w:jc w:val="both"/>
                    <w:textAlignment w:val="baseline"/>
                    <w:rPr>
                      <w:rFonts w:hAnsi="宋体"/>
                      <w:color w:val="auto"/>
                      <w:szCs w:val="21"/>
                    </w:rPr>
                  </w:pPr>
                  <w:r>
                    <w:rPr>
                      <w:rFonts w:hAnsi="宋体"/>
                      <w:color w:val="auto"/>
                      <w:szCs w:val="21"/>
                    </w:rPr>
                    <w:t>符合</w:t>
                  </w:r>
                </w:p>
              </w:tc>
            </w:tr>
            <w:tr w14:paraId="6846EB9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restart"/>
                  <w:noWrap w:val="0"/>
                  <w:vAlign w:val="center"/>
                </w:tcPr>
                <w:p w14:paraId="663BA3EE">
                  <w:pPr>
                    <w:adjustRightInd w:val="0"/>
                    <w:snapToGrid w:val="0"/>
                    <w:jc w:val="center"/>
                    <w:textAlignment w:val="baseline"/>
                    <w:rPr>
                      <w:rFonts w:hAnsi="宋体"/>
                      <w:color w:val="auto"/>
                      <w:szCs w:val="21"/>
                    </w:rPr>
                  </w:pPr>
                  <w:r>
                    <w:rPr>
                      <w:rFonts w:hAnsi="宋体"/>
                      <w:color w:val="auto"/>
                      <w:szCs w:val="21"/>
                    </w:rPr>
                    <w:t>京津冀及周边地区（郑 州、开封、洛阳、平顶山、安阳、鹤壁、新乡、 焦作、濮阳、 许昌、漯河、 三门峡、商 丘、周口市以及济源示范区）</w:t>
                  </w:r>
                </w:p>
              </w:tc>
              <w:tc>
                <w:tcPr>
                  <w:tcW w:w="419" w:type="pct"/>
                  <w:noWrap w:val="0"/>
                  <w:vAlign w:val="center"/>
                </w:tcPr>
                <w:p w14:paraId="52B0ADDC">
                  <w:pPr>
                    <w:adjustRightInd w:val="0"/>
                    <w:snapToGrid w:val="0"/>
                    <w:jc w:val="center"/>
                    <w:textAlignment w:val="baseline"/>
                    <w:rPr>
                      <w:rFonts w:hint="eastAsia" w:ascii="Times New Roman" w:hAnsi="宋体" w:eastAsia="宋体" w:cs="Times New Roman"/>
                      <w:color w:val="auto"/>
                      <w:kern w:val="2"/>
                      <w:sz w:val="21"/>
                      <w:szCs w:val="21"/>
                      <w:lang w:val="en-US" w:eastAsia="zh-CN" w:bidi="ar-SA"/>
                    </w:rPr>
                  </w:pPr>
                  <w:r>
                    <w:rPr>
                      <w:rFonts w:hint="eastAsia" w:hAnsi="宋体"/>
                      <w:color w:val="auto"/>
                      <w:szCs w:val="21"/>
                      <w:lang w:val="en-US" w:eastAsia="zh-CN"/>
                    </w:rPr>
                    <w:t>空间布局约束</w:t>
                  </w:r>
                </w:p>
              </w:tc>
              <w:tc>
                <w:tcPr>
                  <w:tcW w:w="2648" w:type="pct"/>
                  <w:noWrap w:val="0"/>
                  <w:vAlign w:val="center"/>
                </w:tcPr>
                <w:p w14:paraId="5CCA3BE1">
                  <w:pPr>
                    <w:adjustRightInd w:val="0"/>
                    <w:snapToGrid w:val="0"/>
                    <w:jc w:val="center"/>
                    <w:textAlignment w:val="baseline"/>
                    <w:rPr>
                      <w:rFonts w:hAnsi="宋体"/>
                      <w:color w:val="auto"/>
                      <w:szCs w:val="21"/>
                    </w:rPr>
                  </w:pPr>
                  <w:r>
                    <w:rPr>
                      <w:rFonts w:hAnsi="宋体"/>
                      <w:color w:val="auto"/>
                      <w:szCs w:val="21"/>
                    </w:rPr>
                    <w:t>1. 坚决遏制“两高”项目盲目发展，落实《中共河南省委 河南省人民政府 关于深入打 好污染防治攻坚战的实施意见》中关于空间布局约束的相关要求。2.严控磷铵、电石、黄磷等行业新增产能，禁止新建用汞的（聚）氯乙烯产能，加快 低效落后产能退出。3.原则上禁止新建企业自备燃煤机组，有序关停整合30万千瓦以上热电联产机组供热合理半径范围内的落后燃煤小热电机组（含自备电厂）。4.优化危险化学品生产布局，禁止在化工园区外新建、扩建危险化学品生产项目。新建危险化学品生产项目必须进入通过认定的一般或较低安全风险的化工园区（与其他行 业生产装置配套建设的项目除外）。5.新建、扩建石化项目不得位于黄河干支流岸线管控范围内等法律法规明令禁止的区域，尽可能远离居民集中区、医院、学校等环境敏感区。6.严格采矿权准入管理，新建露天矿山项目原则上必须位于省级矿产资源规划划定的 重点开采区内，鼓励集中连片规模化开发。</w:t>
                  </w:r>
                </w:p>
              </w:tc>
              <w:tc>
                <w:tcPr>
                  <w:tcW w:w="1113" w:type="pct"/>
                  <w:noWrap w:val="0"/>
                  <w:vAlign w:val="center"/>
                </w:tcPr>
                <w:p w14:paraId="2851BAF5">
                  <w:pPr>
                    <w:adjustRightInd w:val="0"/>
                    <w:snapToGrid w:val="0"/>
                    <w:jc w:val="left"/>
                    <w:textAlignment w:val="baseline"/>
                    <w:rPr>
                      <w:rFonts w:hint="eastAsia"/>
                      <w:color w:val="auto"/>
                      <w:szCs w:val="21"/>
                      <w:lang w:val="en-US" w:eastAsia="zh-CN"/>
                    </w:rPr>
                  </w:pPr>
                  <w:r>
                    <w:rPr>
                      <w:rFonts w:hint="eastAsia"/>
                      <w:color w:val="auto"/>
                      <w:szCs w:val="21"/>
                      <w:lang w:val="en-US" w:eastAsia="zh-CN"/>
                    </w:rPr>
                    <w:t>1.本项目不属于“两高”项目；</w:t>
                  </w:r>
                </w:p>
                <w:p w14:paraId="40802D5F">
                  <w:pPr>
                    <w:jc w:val="both"/>
                    <w:rPr>
                      <w:rFonts w:hint="eastAsia"/>
                      <w:color w:val="auto"/>
                      <w:szCs w:val="21"/>
                      <w:lang w:val="en-US" w:eastAsia="zh-CN"/>
                    </w:rPr>
                  </w:pPr>
                  <w:r>
                    <w:rPr>
                      <w:rFonts w:hint="eastAsia"/>
                      <w:color w:val="auto"/>
                      <w:szCs w:val="21"/>
                      <w:lang w:val="en-US" w:eastAsia="zh-CN"/>
                    </w:rPr>
                    <w:t>2.本项目不涉及；</w:t>
                  </w:r>
                </w:p>
                <w:p w14:paraId="32B42548">
                  <w:pPr>
                    <w:pStyle w:val="10"/>
                    <w:ind w:left="0" w:leftChars="0" w:firstLine="0" w:firstLineChars="0"/>
                    <w:jc w:val="left"/>
                    <w:rPr>
                      <w:rFonts w:hint="eastAsia"/>
                      <w:color w:val="auto"/>
                      <w:szCs w:val="21"/>
                      <w:lang w:val="en-US" w:eastAsia="zh-CN"/>
                    </w:rPr>
                  </w:pPr>
                  <w:r>
                    <w:rPr>
                      <w:rFonts w:hint="eastAsia"/>
                      <w:color w:val="auto"/>
                      <w:szCs w:val="21"/>
                      <w:lang w:val="en-US" w:eastAsia="zh-CN"/>
                    </w:rPr>
                    <w:t>3.本项目不涉及燃煤机组；</w:t>
                  </w:r>
                </w:p>
                <w:p w14:paraId="75D6E930">
                  <w:pPr>
                    <w:jc w:val="left"/>
                    <w:rPr>
                      <w:rFonts w:hint="eastAsia"/>
                      <w:color w:val="auto"/>
                      <w:szCs w:val="21"/>
                      <w:lang w:val="en-US" w:eastAsia="zh-CN"/>
                    </w:rPr>
                  </w:pPr>
                  <w:r>
                    <w:rPr>
                      <w:rFonts w:hint="eastAsia"/>
                      <w:color w:val="auto"/>
                      <w:szCs w:val="21"/>
                      <w:lang w:val="en-US" w:eastAsia="zh-CN"/>
                    </w:rPr>
                    <w:t>4.本项目属于镍氢电池制造行业，不涉及危险化学品生产；</w:t>
                  </w:r>
                </w:p>
                <w:p w14:paraId="57A7D38A">
                  <w:pPr>
                    <w:jc w:val="left"/>
                    <w:rPr>
                      <w:rFonts w:hint="eastAsia" w:hAnsi="宋体"/>
                      <w:color w:val="auto"/>
                      <w:szCs w:val="21"/>
                      <w:lang w:eastAsia="zh-CN"/>
                    </w:rPr>
                  </w:pPr>
                  <w:r>
                    <w:rPr>
                      <w:rFonts w:hint="eastAsia"/>
                      <w:color w:val="auto"/>
                      <w:szCs w:val="21"/>
                      <w:lang w:val="en-US" w:eastAsia="zh-CN"/>
                    </w:rPr>
                    <w:t>5.本项目建设地点位于河南省新乡市延津县石婆固乡西秦庄村012号，不在</w:t>
                  </w:r>
                  <w:r>
                    <w:rPr>
                      <w:rFonts w:hAnsi="宋体"/>
                      <w:color w:val="auto"/>
                      <w:szCs w:val="21"/>
                    </w:rPr>
                    <w:t>黄河干支流岸线管控范围内等法律法规明令禁止的区域</w:t>
                  </w:r>
                  <w:r>
                    <w:rPr>
                      <w:rFonts w:hint="eastAsia" w:hAnsi="宋体"/>
                      <w:color w:val="auto"/>
                      <w:szCs w:val="21"/>
                      <w:lang w:eastAsia="zh-CN"/>
                    </w:rPr>
                    <w:t>；</w:t>
                  </w:r>
                </w:p>
                <w:p w14:paraId="6A724006">
                  <w:pPr>
                    <w:jc w:val="left"/>
                    <w:rPr>
                      <w:rFonts w:hint="default" w:eastAsia="宋体"/>
                      <w:color w:val="auto"/>
                      <w:lang w:val="en-US" w:eastAsia="zh-CN"/>
                    </w:rPr>
                  </w:pPr>
                  <w:r>
                    <w:rPr>
                      <w:rFonts w:hint="eastAsia" w:hAnsi="宋体"/>
                      <w:color w:val="auto"/>
                      <w:szCs w:val="21"/>
                      <w:lang w:val="en-US" w:eastAsia="zh-CN"/>
                    </w:rPr>
                    <w:t>6.本项目不涉及。</w:t>
                  </w:r>
                </w:p>
              </w:tc>
              <w:tc>
                <w:tcPr>
                  <w:tcW w:w="330" w:type="pct"/>
                  <w:noWrap w:val="0"/>
                  <w:vAlign w:val="center"/>
                </w:tcPr>
                <w:p w14:paraId="32A3A18A">
                  <w:pPr>
                    <w:adjustRightInd w:val="0"/>
                    <w:snapToGrid w:val="0"/>
                    <w:jc w:val="center"/>
                    <w:textAlignment w:val="baseline"/>
                    <w:rPr>
                      <w:rFonts w:hAnsi="宋体"/>
                      <w:color w:val="auto"/>
                      <w:szCs w:val="21"/>
                    </w:rPr>
                  </w:pPr>
                  <w:r>
                    <w:rPr>
                      <w:rFonts w:hAnsi="宋体"/>
                      <w:color w:val="auto"/>
                      <w:szCs w:val="21"/>
                    </w:rPr>
                    <w:t>符合</w:t>
                  </w:r>
                </w:p>
              </w:tc>
            </w:tr>
            <w:tr w14:paraId="5B1FF92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21C25C56">
                  <w:pPr>
                    <w:adjustRightInd w:val="0"/>
                    <w:snapToGrid w:val="0"/>
                    <w:jc w:val="center"/>
                    <w:textAlignment w:val="baseline"/>
                    <w:rPr>
                      <w:rFonts w:hAnsi="宋体"/>
                      <w:color w:val="auto"/>
                      <w:szCs w:val="21"/>
                    </w:rPr>
                  </w:pPr>
                </w:p>
              </w:tc>
              <w:tc>
                <w:tcPr>
                  <w:tcW w:w="419" w:type="pct"/>
                  <w:noWrap w:val="0"/>
                  <w:vAlign w:val="center"/>
                </w:tcPr>
                <w:p w14:paraId="7F2912AF">
                  <w:pPr>
                    <w:adjustRightInd w:val="0"/>
                    <w:snapToGrid w:val="0"/>
                    <w:jc w:val="center"/>
                    <w:textAlignment w:val="baseline"/>
                    <w:rPr>
                      <w:rFonts w:hint="eastAsia" w:ascii="Times New Roman" w:hAnsi="宋体" w:eastAsia="宋体" w:cs="Times New Roman"/>
                      <w:color w:val="auto"/>
                      <w:kern w:val="2"/>
                      <w:sz w:val="21"/>
                      <w:szCs w:val="21"/>
                      <w:lang w:val="en-US" w:eastAsia="zh-CN" w:bidi="ar-SA"/>
                    </w:rPr>
                  </w:pPr>
                  <w:r>
                    <w:rPr>
                      <w:rFonts w:hint="eastAsia" w:hAnsi="宋体"/>
                      <w:color w:val="auto"/>
                      <w:szCs w:val="21"/>
                      <w:lang w:val="en-US" w:eastAsia="zh-CN"/>
                    </w:rPr>
                    <w:t>污染物排放管控</w:t>
                  </w:r>
                </w:p>
              </w:tc>
              <w:tc>
                <w:tcPr>
                  <w:tcW w:w="2648" w:type="pct"/>
                  <w:noWrap w:val="0"/>
                  <w:vAlign w:val="center"/>
                </w:tcPr>
                <w:p w14:paraId="75240391">
                  <w:pPr>
                    <w:adjustRightInd w:val="0"/>
                    <w:snapToGrid w:val="0"/>
                    <w:jc w:val="both"/>
                    <w:textAlignment w:val="baseline"/>
                    <w:rPr>
                      <w:rFonts w:hint="eastAsia" w:hAnsi="宋体"/>
                      <w:color w:val="auto"/>
                      <w:szCs w:val="21"/>
                      <w:lang w:eastAsia="zh-CN"/>
                    </w:rPr>
                  </w:pPr>
                  <w:r>
                    <w:rPr>
                      <w:rFonts w:hAnsi="宋体"/>
                      <w:color w:val="auto"/>
                      <w:szCs w:val="21"/>
                    </w:rPr>
                    <w:t>1.落实超低排放要求、无组织排放特别控制要求。2.聚焦夏秋季臭氧污染，推进挥发性有机物和氮氧化物协同减排。以石化、化工、涂装、医药、包装印刷、油品储运销等行业领域为重点，推进挥发性有机物综合治理，实施原辅材料和产品源头替代工程。3.全面淘汰国三及以下排放标准</w:t>
                  </w:r>
                  <w:r>
                    <w:rPr>
                      <w:rFonts w:hint="eastAsia" w:hAnsi="宋体"/>
                      <w:color w:val="auto"/>
                      <w:szCs w:val="21"/>
                      <w:lang w:val="en-US" w:eastAsia="zh-CN"/>
                    </w:rPr>
                    <w:t>营</w:t>
                  </w:r>
                  <w:r>
                    <w:rPr>
                      <w:rFonts w:hAnsi="宋体"/>
                      <w:color w:val="auto"/>
                      <w:szCs w:val="21"/>
                    </w:rPr>
                    <w:t>运中重型柴油货车；推进大宗货物“公转铁”“公转水”。4.全面推广绿色化工制造技术，实现化工原料和反应介质、生产工艺和制造过程绿色化，从源头上控制和减少污染。5.推行农业绿色生产方式，协同推进种植业、养殖业节能减排与污染治理；推广生物 质能、太阳能等绿色用能模式，加快农业及农产品加工设施等可再生能源替代</w:t>
                  </w:r>
                  <w:r>
                    <w:rPr>
                      <w:rFonts w:hint="eastAsia" w:hAnsi="宋体"/>
                      <w:color w:val="auto"/>
                      <w:szCs w:val="21"/>
                      <w:lang w:eastAsia="zh-CN"/>
                    </w:rPr>
                    <w:t>。</w:t>
                  </w:r>
                </w:p>
              </w:tc>
              <w:tc>
                <w:tcPr>
                  <w:tcW w:w="1113" w:type="pct"/>
                  <w:noWrap w:val="0"/>
                  <w:vAlign w:val="center"/>
                </w:tcPr>
                <w:p w14:paraId="4B01CAF2">
                  <w:pPr>
                    <w:adjustRightInd w:val="0"/>
                    <w:snapToGrid w:val="0"/>
                    <w:jc w:val="both"/>
                    <w:textAlignment w:val="baseline"/>
                    <w:rPr>
                      <w:rFonts w:hint="eastAsia" w:hAnsi="宋体"/>
                      <w:color w:val="auto"/>
                      <w:szCs w:val="21"/>
                      <w:lang w:eastAsia="zh-CN"/>
                    </w:rPr>
                  </w:pPr>
                  <w:r>
                    <w:rPr>
                      <w:rFonts w:hint="eastAsia"/>
                      <w:color w:val="auto"/>
                      <w:szCs w:val="21"/>
                      <w:lang w:val="en-US" w:eastAsia="zh-CN"/>
                    </w:rPr>
                    <w:t>1.本项目不涉及废气污染物的排放，无需执行废气</w:t>
                  </w:r>
                  <w:r>
                    <w:rPr>
                      <w:rFonts w:hAnsi="宋体"/>
                      <w:color w:val="auto"/>
                      <w:szCs w:val="21"/>
                    </w:rPr>
                    <w:t>排放特别控制要求</w:t>
                  </w:r>
                  <w:r>
                    <w:rPr>
                      <w:rFonts w:hint="eastAsia" w:hAnsi="宋体"/>
                      <w:color w:val="auto"/>
                      <w:szCs w:val="21"/>
                      <w:lang w:eastAsia="zh-CN"/>
                    </w:rPr>
                    <w:t>；</w:t>
                  </w:r>
                </w:p>
                <w:p w14:paraId="346E1F37">
                  <w:pPr>
                    <w:pStyle w:val="10"/>
                    <w:ind w:left="0" w:leftChars="0" w:firstLine="0" w:firstLineChars="0"/>
                    <w:jc w:val="both"/>
                    <w:rPr>
                      <w:rFonts w:hint="eastAsia" w:hAnsi="宋体"/>
                      <w:color w:val="auto"/>
                      <w:szCs w:val="21"/>
                      <w:lang w:val="en-US" w:eastAsia="zh-CN"/>
                    </w:rPr>
                  </w:pPr>
                  <w:r>
                    <w:rPr>
                      <w:rFonts w:hint="eastAsia"/>
                      <w:color w:val="auto"/>
                      <w:lang w:val="en-US" w:eastAsia="zh-CN"/>
                    </w:rPr>
                    <w:t>2.本项目不涉及</w:t>
                  </w:r>
                  <w:r>
                    <w:rPr>
                      <w:rFonts w:hAnsi="宋体"/>
                      <w:color w:val="auto"/>
                      <w:szCs w:val="21"/>
                    </w:rPr>
                    <w:t>挥发性有机物和氮氧化物</w:t>
                  </w:r>
                  <w:r>
                    <w:rPr>
                      <w:rFonts w:hint="eastAsia" w:hAnsi="宋体"/>
                      <w:color w:val="auto"/>
                      <w:szCs w:val="21"/>
                      <w:lang w:val="en-US" w:eastAsia="zh-CN"/>
                    </w:rPr>
                    <w:t>的排放；</w:t>
                  </w:r>
                </w:p>
                <w:p w14:paraId="4AC9C591">
                  <w:pPr>
                    <w:jc w:val="both"/>
                    <w:rPr>
                      <w:rFonts w:hint="eastAsia" w:hAnsi="宋体"/>
                      <w:color w:val="auto"/>
                      <w:szCs w:val="21"/>
                      <w:lang w:val="en-US" w:eastAsia="zh-CN"/>
                    </w:rPr>
                  </w:pPr>
                  <w:r>
                    <w:rPr>
                      <w:rFonts w:hint="eastAsia" w:hAnsi="宋体"/>
                      <w:color w:val="auto"/>
                      <w:szCs w:val="21"/>
                      <w:lang w:val="en-US" w:eastAsia="zh-CN"/>
                    </w:rPr>
                    <w:t>3.本项目运输车辆不涉及淘汰类营运车辆；</w:t>
                  </w:r>
                </w:p>
                <w:p w14:paraId="0F7DBB51">
                  <w:pPr>
                    <w:jc w:val="both"/>
                    <w:rPr>
                      <w:rFonts w:hint="default"/>
                      <w:color w:val="auto"/>
                      <w:lang w:val="en-US" w:eastAsia="zh-CN"/>
                    </w:rPr>
                  </w:pPr>
                  <w:r>
                    <w:rPr>
                      <w:rFonts w:hint="eastAsia" w:hAnsi="宋体"/>
                      <w:color w:val="auto"/>
                      <w:szCs w:val="21"/>
                      <w:lang w:val="en-US" w:eastAsia="zh-CN"/>
                    </w:rPr>
                    <w:t>4.本项目不涉及；5.本项目不涉及。</w:t>
                  </w:r>
                </w:p>
              </w:tc>
              <w:tc>
                <w:tcPr>
                  <w:tcW w:w="330" w:type="pct"/>
                  <w:noWrap w:val="0"/>
                  <w:vAlign w:val="center"/>
                </w:tcPr>
                <w:p w14:paraId="760F9699">
                  <w:pPr>
                    <w:adjustRightInd w:val="0"/>
                    <w:snapToGrid w:val="0"/>
                    <w:jc w:val="both"/>
                    <w:textAlignment w:val="baseline"/>
                    <w:rPr>
                      <w:rFonts w:hAnsi="宋体"/>
                      <w:color w:val="auto"/>
                      <w:szCs w:val="21"/>
                    </w:rPr>
                  </w:pPr>
                  <w:r>
                    <w:rPr>
                      <w:rFonts w:hAnsi="宋体"/>
                      <w:color w:val="auto"/>
                      <w:szCs w:val="21"/>
                    </w:rPr>
                    <w:t>符合</w:t>
                  </w:r>
                </w:p>
              </w:tc>
            </w:tr>
            <w:tr w14:paraId="55EC8F5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15F1CDBF">
                  <w:pPr>
                    <w:adjustRightInd w:val="0"/>
                    <w:snapToGrid w:val="0"/>
                    <w:jc w:val="center"/>
                    <w:textAlignment w:val="baseline"/>
                    <w:rPr>
                      <w:rFonts w:hAnsi="宋体"/>
                      <w:color w:val="auto"/>
                      <w:szCs w:val="21"/>
                    </w:rPr>
                  </w:pPr>
                </w:p>
              </w:tc>
              <w:tc>
                <w:tcPr>
                  <w:tcW w:w="419" w:type="pct"/>
                  <w:noWrap w:val="0"/>
                  <w:vAlign w:val="center"/>
                </w:tcPr>
                <w:p w14:paraId="668C95E6">
                  <w:pPr>
                    <w:adjustRightInd w:val="0"/>
                    <w:snapToGrid w:val="0"/>
                    <w:jc w:val="center"/>
                    <w:textAlignment w:val="baseline"/>
                    <w:rPr>
                      <w:rFonts w:hint="eastAsia" w:ascii="Times New Roman" w:hAnsi="宋体" w:eastAsia="宋体" w:cs="Times New Roman"/>
                      <w:color w:val="auto"/>
                      <w:kern w:val="2"/>
                      <w:sz w:val="21"/>
                      <w:szCs w:val="21"/>
                      <w:lang w:val="en-US" w:eastAsia="zh-CN" w:bidi="ar-SA"/>
                    </w:rPr>
                  </w:pPr>
                  <w:r>
                    <w:rPr>
                      <w:rFonts w:hint="eastAsia" w:hAnsi="宋体"/>
                      <w:color w:val="auto"/>
                      <w:szCs w:val="21"/>
                      <w:lang w:val="en-US" w:eastAsia="zh-CN"/>
                    </w:rPr>
                    <w:t>环境风险防控</w:t>
                  </w:r>
                </w:p>
              </w:tc>
              <w:tc>
                <w:tcPr>
                  <w:tcW w:w="2648" w:type="pct"/>
                  <w:noWrap w:val="0"/>
                  <w:vAlign w:val="center"/>
                </w:tcPr>
                <w:p w14:paraId="399E480F">
                  <w:pPr>
                    <w:adjustRightInd w:val="0"/>
                    <w:snapToGrid w:val="0"/>
                    <w:jc w:val="both"/>
                    <w:textAlignment w:val="baseline"/>
                    <w:rPr>
                      <w:rFonts w:hAnsi="宋体"/>
                      <w:color w:val="auto"/>
                      <w:szCs w:val="21"/>
                    </w:rPr>
                  </w:pPr>
                  <w:r>
                    <w:rPr>
                      <w:rFonts w:hAnsi="宋体"/>
                      <w:color w:val="auto"/>
                      <w:szCs w:val="21"/>
                    </w:rPr>
                    <w:t>1.对无法实现低VOCs原辅材料替代的工序，在保证安全情况下，应在密闭设备、密 闭空间作业或安装二次密闭设施。2.矿山开采、选矿、运输过程中，应采取相应的防尘措施，化学矿、有色金属矿石及产品堆场应采取“三防”措施。3.加强空气质量预测预报能力，完善联动应急响应体系，强化区域联防联控</w:t>
                  </w:r>
                </w:p>
              </w:tc>
              <w:tc>
                <w:tcPr>
                  <w:tcW w:w="1113" w:type="pct"/>
                  <w:noWrap w:val="0"/>
                  <w:vAlign w:val="center"/>
                </w:tcPr>
                <w:p w14:paraId="568C8F8A">
                  <w:pPr>
                    <w:adjustRightInd w:val="0"/>
                    <w:snapToGrid w:val="0"/>
                    <w:jc w:val="both"/>
                    <w:textAlignment w:val="baseline"/>
                    <w:rPr>
                      <w:rFonts w:hint="eastAsia" w:hAnsi="宋体"/>
                      <w:color w:val="auto"/>
                      <w:szCs w:val="21"/>
                      <w:lang w:eastAsia="zh-CN"/>
                    </w:rPr>
                  </w:pPr>
                  <w:r>
                    <w:rPr>
                      <w:rFonts w:hint="eastAsia" w:hAnsi="宋体"/>
                      <w:color w:val="auto"/>
                      <w:szCs w:val="21"/>
                      <w:lang w:val="en-US" w:eastAsia="zh-CN"/>
                    </w:rPr>
                    <w:t>1.本项目原辅材料不涉及含</w:t>
                  </w:r>
                  <w:r>
                    <w:rPr>
                      <w:rFonts w:hAnsi="宋体"/>
                      <w:color w:val="auto"/>
                      <w:szCs w:val="21"/>
                    </w:rPr>
                    <w:t>VOCs原辅材料</w:t>
                  </w:r>
                  <w:r>
                    <w:rPr>
                      <w:rFonts w:hint="eastAsia" w:hAnsi="宋体"/>
                      <w:color w:val="auto"/>
                      <w:szCs w:val="21"/>
                      <w:lang w:eastAsia="zh-CN"/>
                    </w:rPr>
                    <w:t>；</w:t>
                  </w:r>
                </w:p>
                <w:p w14:paraId="73C06D3A">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2.本项目不涉及；3.本项目不涉及。</w:t>
                  </w:r>
                </w:p>
              </w:tc>
              <w:tc>
                <w:tcPr>
                  <w:tcW w:w="330" w:type="pct"/>
                  <w:noWrap w:val="0"/>
                  <w:vAlign w:val="center"/>
                </w:tcPr>
                <w:p w14:paraId="29C6DB01">
                  <w:pPr>
                    <w:adjustRightInd w:val="0"/>
                    <w:snapToGrid w:val="0"/>
                    <w:jc w:val="center"/>
                    <w:textAlignment w:val="baseline"/>
                    <w:rPr>
                      <w:rFonts w:hAnsi="宋体"/>
                      <w:color w:val="auto"/>
                      <w:szCs w:val="21"/>
                    </w:rPr>
                  </w:pPr>
                  <w:r>
                    <w:rPr>
                      <w:rFonts w:hAnsi="宋体"/>
                      <w:color w:val="auto"/>
                      <w:szCs w:val="21"/>
                    </w:rPr>
                    <w:t>符合</w:t>
                  </w:r>
                </w:p>
              </w:tc>
            </w:tr>
            <w:tr w14:paraId="2EF04C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3E35D9D1">
                  <w:pPr>
                    <w:adjustRightInd w:val="0"/>
                    <w:snapToGrid w:val="0"/>
                    <w:jc w:val="center"/>
                    <w:textAlignment w:val="baseline"/>
                    <w:rPr>
                      <w:rFonts w:hAnsi="宋体"/>
                      <w:color w:val="auto"/>
                      <w:szCs w:val="21"/>
                    </w:rPr>
                  </w:pPr>
                </w:p>
              </w:tc>
              <w:tc>
                <w:tcPr>
                  <w:tcW w:w="419" w:type="pct"/>
                  <w:noWrap w:val="0"/>
                  <w:vAlign w:val="center"/>
                </w:tcPr>
                <w:p w14:paraId="27575127">
                  <w:pPr>
                    <w:adjustRightInd w:val="0"/>
                    <w:snapToGrid w:val="0"/>
                    <w:jc w:val="center"/>
                    <w:textAlignment w:val="baseline"/>
                    <w:rPr>
                      <w:rFonts w:hint="eastAsia" w:ascii="Times New Roman" w:hAnsi="宋体" w:eastAsia="宋体" w:cs="Times New Roman"/>
                      <w:color w:val="auto"/>
                      <w:kern w:val="2"/>
                      <w:sz w:val="21"/>
                      <w:szCs w:val="21"/>
                      <w:lang w:val="en-US" w:eastAsia="zh-CN" w:bidi="ar-SA"/>
                    </w:rPr>
                  </w:pPr>
                  <w:r>
                    <w:rPr>
                      <w:rFonts w:hint="eastAsia" w:hAnsi="宋体"/>
                      <w:color w:val="auto"/>
                      <w:szCs w:val="21"/>
                      <w:lang w:val="en-US" w:eastAsia="zh-CN"/>
                    </w:rPr>
                    <w:t>资源利用效率</w:t>
                  </w:r>
                </w:p>
              </w:tc>
              <w:tc>
                <w:tcPr>
                  <w:tcW w:w="2648" w:type="pct"/>
                  <w:noWrap w:val="0"/>
                  <w:vAlign w:val="center"/>
                </w:tcPr>
                <w:p w14:paraId="0C7F7F71">
                  <w:pPr>
                    <w:adjustRightInd w:val="0"/>
                    <w:snapToGrid w:val="0"/>
                    <w:jc w:val="both"/>
                    <w:textAlignment w:val="baseline"/>
                    <w:rPr>
                      <w:rFonts w:hAnsi="宋体"/>
                      <w:color w:val="auto"/>
                      <w:szCs w:val="21"/>
                    </w:rPr>
                  </w:pPr>
                  <w:r>
                    <w:rPr>
                      <w:rFonts w:hAnsi="宋体"/>
                      <w:color w:val="auto"/>
                      <w:szCs w:val="21"/>
                    </w:rPr>
                    <w:t>1.严格合理控制煤炭消费，“十四五”期间完成省定煤炭消费总量控制目标。2.到2025年，吨钢综合能耗达到国内先进水平。3.到2025年，钢铁、石化化工、有色金属、建材等行业重点产品能效达到国际先进水平，规模以上工业单位增加值能耗比2020年下降13.5%</w:t>
                  </w:r>
                </w:p>
              </w:tc>
              <w:tc>
                <w:tcPr>
                  <w:tcW w:w="1113" w:type="pct"/>
                  <w:noWrap w:val="0"/>
                  <w:vAlign w:val="center"/>
                </w:tcPr>
                <w:p w14:paraId="68F7EB79">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1.本项目不涉及；2.本项目不涉及；3.本项目不涉及。</w:t>
                  </w:r>
                </w:p>
              </w:tc>
              <w:tc>
                <w:tcPr>
                  <w:tcW w:w="330" w:type="pct"/>
                  <w:noWrap w:val="0"/>
                  <w:vAlign w:val="center"/>
                </w:tcPr>
                <w:p w14:paraId="6E1B66AA">
                  <w:pPr>
                    <w:adjustRightInd w:val="0"/>
                    <w:snapToGrid w:val="0"/>
                    <w:jc w:val="center"/>
                    <w:textAlignment w:val="baseline"/>
                    <w:rPr>
                      <w:rFonts w:hAnsi="宋体"/>
                      <w:color w:val="auto"/>
                      <w:szCs w:val="21"/>
                    </w:rPr>
                  </w:pPr>
                  <w:r>
                    <w:rPr>
                      <w:rFonts w:hAnsi="宋体"/>
                      <w:color w:val="auto"/>
                      <w:szCs w:val="21"/>
                    </w:rPr>
                    <w:t>符合</w:t>
                  </w:r>
                </w:p>
              </w:tc>
            </w:tr>
            <w:tr w14:paraId="17E6828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restart"/>
                  <w:noWrap w:val="0"/>
                  <w:vAlign w:val="center"/>
                </w:tcPr>
                <w:p w14:paraId="31197AFD">
                  <w:pPr>
                    <w:adjustRightInd w:val="0"/>
                    <w:snapToGrid w:val="0"/>
                    <w:jc w:val="center"/>
                    <w:textAlignment w:val="baseline"/>
                    <w:rPr>
                      <w:color w:val="auto"/>
                      <w:szCs w:val="21"/>
                    </w:rPr>
                  </w:pPr>
                  <w:r>
                    <w:rPr>
                      <w:rFonts w:hAnsi="宋体"/>
                      <w:color w:val="auto"/>
                      <w:szCs w:val="21"/>
                    </w:rPr>
                    <w:t>新乡市生态环境准入要求</w:t>
                  </w:r>
                </w:p>
              </w:tc>
              <w:tc>
                <w:tcPr>
                  <w:tcW w:w="419" w:type="pct"/>
                  <w:noWrap w:val="0"/>
                  <w:vAlign w:val="center"/>
                </w:tcPr>
                <w:p w14:paraId="7AE0B42C">
                  <w:pPr>
                    <w:adjustRightInd w:val="0"/>
                    <w:snapToGrid w:val="0"/>
                    <w:jc w:val="center"/>
                    <w:textAlignment w:val="baseline"/>
                    <w:rPr>
                      <w:rFonts w:hAnsi="宋体"/>
                      <w:color w:val="auto"/>
                      <w:szCs w:val="21"/>
                    </w:rPr>
                  </w:pPr>
                  <w:r>
                    <w:rPr>
                      <w:rFonts w:hint="eastAsia" w:ascii="Times New Roman" w:hAnsi="宋体" w:eastAsia="宋体" w:cs="Times New Roman"/>
                      <w:color w:val="auto"/>
                      <w:szCs w:val="21"/>
                    </w:rPr>
                    <w:t>空间布局约束</w:t>
                  </w:r>
                </w:p>
              </w:tc>
              <w:tc>
                <w:tcPr>
                  <w:tcW w:w="2648" w:type="pct"/>
                  <w:noWrap w:val="0"/>
                  <w:vAlign w:val="center"/>
                </w:tcPr>
                <w:p w14:paraId="1CA05396">
                  <w:pPr>
                    <w:adjustRightInd w:val="0"/>
                    <w:snapToGrid w:val="0"/>
                    <w:jc w:val="both"/>
                    <w:textAlignment w:val="baseline"/>
                    <w:rPr>
                      <w:rFonts w:hAnsi="宋体"/>
                      <w:color w:val="auto"/>
                      <w:szCs w:val="21"/>
                    </w:rPr>
                  </w:pPr>
                  <w:r>
                    <w:rPr>
                      <w:rFonts w:hAnsi="宋体"/>
                      <w:color w:val="auto"/>
                      <w:szCs w:val="21"/>
                    </w:rPr>
                    <w:t>1.禁止在自然保护区内进行砍伐、放牧、狩猎、捕捞、采药、开垦、烧荒、开矿、采石、挖沙等活动；但是，法律、行政法规另有规定的除外。禁止任何人进入自然保护区的核心区。因科学研究的需要，必须进入核心区从事科学研究观测、调查活动的，应当事先向自然保护区管理机构提交申请和活动计划，并经自然保护区管理机构批准；其中，进入国家级自然保护区核心区的，应当经省、自治区、直辖市人民政府有关自然保护区行政主管部门批准；自然保护区核心区内原有居民确有必要迁出的，由自然保护区所在地 的地方人民政府予以妥善安置。禁止在自然保护区的缓冲区开展旅游和生产经营活动。因教学科研的目的，需要进入自然保护区的缓冲区从事非破坏性的科学研究、教学实习和标本采集活动的，应当事先向自然保护区管理机构提交申请和活动计划，经自然保护区管理机构批准。从事前款活动的单位和个人，应当将其活动成果的副本提交自然保护区管理机构。在自然保护区的核心区和缓冲区内，不得建设任何生产设施。在自然保护区的实验区内，不得建设污染环境、破坏资源或者 景观的生产设施；建设其他项目，其污染物排放不得超过国家和地方规定的污染物排放标准。2.在风景名胜区内禁止进行下列活动：（一）开山、采石、开矿、开荒、修坟立碑等破坏景观、植被和地形地貌的活动；（二）修建储存爆炸性、易燃性、放射性、毒害性、腐蚀性物品的设施；（三）在景物或者设施上刻划、涂污；（四）乱扔垃圾。禁止违反风景名胜区规划，在风景名胜区内设立各类开发区和在核心景区内建设宾馆、招待所、培训中心、疗养院以及与风景名胜资源保护无关的其他建筑物；已经建设的，应当按照风景名胜区规划，逐步迁出。3.饮用水地表水源各级保护区必须遵守下列规定：一、禁止一切破坏水环境生态平衡的活动以及破坏水源林、护岸林、与水源保护相关植被的活动； 二、禁止向水域倾倒工业废渣、城市垃圾、粪便及其它废弃物；三、运输有毒有害物质、油类、粪便的 船舶和车辆一般不准进入保护区，必须进入者应事先申请并经有关部门批准、登记并设置防渗、防溢、防漏设施；四、禁止使用剧毒和高残留农药，不得滥用化肥，不得使用炸药、毒品捕杀鱼类。一级保护区内禁止新建、扩建与供水设施和保护水源无关的建设项目；禁止向水域排放污水，已设置的排污口必须拆除；不得设置与供水需要无关的码头，禁止停靠船舶；禁止堆置和存放工业废渣、城市垃圾、粪便和其他废弃物；禁止设置油库；禁止从事种植、放养禽畜，严格控制网箱养殖活动；禁止可能污染水源的旅游活动和其他活动。二级保护区内不准新建、扩建向水体排放污染物的建设项目。改建项目必须削减污染物排放量；原有排污口必须削减污水排 放量，保证保护区内水质满足规定的水质标准；禁止设立装卸垃圾、粪便、油类和有毒物品的码头。饮用水地下水源各级保护区必须遵守下列规定： 一、禁止利用渗坑、渗井、裂隙、溶洞等排放污水和其它有害废弃物；二、禁止利用透水层孔隙、裂隙、溶洞及废弃矿坑储 存石油、天然气、放射性物质、有毒有害化工原料、农药等；三、实行人工回灌地下水时不得污染当地地下水源。一级保护区内 禁止建设与取水设施无关的建筑物；禁止从事农牧业活动；禁止倾倒、堆放工业废渣及城市垃圾、粪便和其它有害废弃物；禁止 输送污水的渠道、管道及输油管道通过本区；禁止建设油库；禁止建立墓地。潜水含水层地下水水源地二级保护区内禁止建设化工、电镀、皮革、造纸、制浆、冶炼、放射性、印染、染料、炼焦、炼油及其它有严重污染的企业，已建成的要限期治理，转产 或搬迁；禁止设置城市垃圾、粪便和易溶、有毒有害废弃物堆放场和转运站，已有的上述场站要限期搬迁；禁止利用未经净化的 污水灌溉农田，已有的污灌农田要限期改用清水灌溉；化工原料、矿物油类及有毒有害矿产品的堆放场所必须有防雨、防渗措施。承压含水层地下水水源地二级保护区内禁止承压水和潜水的混合开采，作好潜水的止水措施。4.按照《河南省南水北调饮用水水源保护条例》（2022年3月1日实施），在南水北调饮用水水源保护范围内，禁止下列行为：向水体排放油类、酸液、碱液或者剧毒废液；在水体清洗装贮过油类或者有毒污染物的车辆和容器；向水体倾倒危险废物、工业固体废物、生活垃圾、建筑垃圾、粪便及其他废弃物；使用剧毒、高残留农药；使用炸药、毒药、电捕杀鱼类和其他生物；破坏 水源涵养林以及与水源保护相关的植被；法律、法规禁止的其他行为。在准保护区内，除上述禁止的行为以外，还应当禁止下列行为：新建、扩建对水体污染严重的建设项目；改建建设项目增加 排污量；设置化工原料、危险废物和易溶性、有毒有害废弃物的暂存及转运站；拦汊筑坝、围网和网箱养殖；法律、法规禁止的其他行为。在二级保护区内，除准保护区禁止的行为以外，还应当禁止下列行为：设置排污口；新建、改建、扩建排放污染物的建设项 目；开采矿产资源；新铺设输送有毒有害物品的管道；建设畜禽养殖场；使用农药，丢弃农药、农药包装物或者清洗施药器械；建造坟墓；丢弃或者掩埋动物尸体以及含病原体的其他废物；使用不符合国家规定防污条件的运载工具运输油类、粪便及其他有 毒有害物品；放生、游泳、垂钓；法律、法规禁止的其他行为。已建成的排放污染物的建设项目，由县级以上人民政府依法拆除 或者关闭。 在一级保护区内，除二级保护区禁止的行为以外，还应当禁止下列行为：新建、改建、扩建与供水设施和保护水源无关的建 设项目；停靠与保护水源无关的船舶；使用化肥；从事旅游或者其他污染饮用水水体的活动。已建成的与供水设施和保护水源无 关的建设项目，由县级以上人民政府依法拆除或者关闭。5.河湖湿地、森林公园内的珍贵景物和风景名胜区核心景区、自然保护区的核心区和缓冲区、土地利用总体规划所确定的永久基 本农田保护区、地质遗迹一级保护区、饮用水水源一级保护区、水工程保护范围、地质灾害危险区、矿产资源密集地区的禁止开 采区、工程建设不适宜区、大于25%的陡坡地、行洪通道、防洪工程设施保护范围、高压输电线路走廊、天然气输送管线及其防护区、成品油输送管线及其防护区、区域性调水工程管线及其防护区和生态保护红线属于规划的禁止建设区。6.禁止在水产种质资源保护区内从事围湖造田、围海造地或围填海工程。禁止在水产种质资源保护区内新建排污口。在水产种质资源保护区附近新建、改建、扩建排污口，应当保证保护区水体不受污染。7.共产主义渠、卫河、天然文岩渠等主要河道除涝标准达到 3 年一遇，防洪标准达到10-20年一遇，重点河段达到50-100年一遇设置堤防。8.南太行旅游度假区规划区范围内；新乡市山水林田湖草一体化生态城规划区范围内；按规定划定的自然保护区、景观区、居民集中生活区的周边和重要交通干线、河流湖泊直观可视范围内；特定生态保护红线范围内禁止新建露天矿山项目。禁止建设生产和使用高挥发性有机物含量的溶剂型涂料、油墨、胶粘剂等项目。按照“可替尽替、应代尽代”的原则，开展汽车制造、工业涂 装、家具制造、包装印刷、钢结构制造、工程机械等行业溶剂型涂料、油墨、胶粘剂、清洗剂使用低 VOCs 含量原辅材料替代。禁止生产、销售不符合标准的机动车船、非道路移动机械用燃料；禁止向汽车和摩托车销售普通柴油以及其他非机动车用燃料；禁止向非道路移动机械销售渣油、重油和不符合规定的燃用油。9.严格控制新建、扩建钢铁冶炼、水泥、有色金属冶炼、平板玻璃、化工、建筑陶瓷、耐火材料、砖瓦、矿山开采等行业的高排放、高污染项目，促进传统煤化工、水泥行业绿色转型、智能升级。城市建成区内人口密集区、环境脆弱敏感区周边的钢铁冶炼、 水泥、有色金属冶炼、平板玻璃、化工、建筑陶瓷、耐火材料、砖瓦、矿山开采等行业中的高排放、高污染项目，应当限期搬迁、升级改造或者转型、退出。新建、改建、扩建“两高”项目须符合生态环境保护法律法规和相关法定规划，满足重点污染物排放 总量控制、碳排放达峰目标、生态环境准入清单、相关规划环评和相应行业建设项目环境准入条件、环评文件审批原则要求。新 建“两高”项目应按照《生态环境部办公厅关于加强重点行业建设项目区域削减措施监督管理的通知》（环办环评〔2020〕36 号）要求，制定配套区域污染物削减方案，环境质量超标区域实行重点污染物排放倍量削减，环境质量达标区域原则上实施等量削减。新建耗煤项目还应严格按规定采取煤炭消费减量替代措施，不得使用高污染燃料作为煤炭减量替代措施。原则上禁止新增钢铁、电解铝、水泥、平板玻璃、传统煤化工（甲醇、合成氨）、焦化、铝用炭素、砖瓦窑、耐火材料、铅锌冶炼（含再生铅） 等行业产能。10.按照各园区建设发展规划，培育和建设关联企业高度集中的产业基地，积极推行区域、规划环境影响评价，对搬迁升级改造 石化、化工、建材、有色等项目的环境影响评价，应满足区域、规划环评要求。鼓励支持水泥等重点行业进行产能置换、装备大 型改造、重组整合。11.化工园区选址布局应符合有关法律法规、政策规定、相关规划和行业管理或技术规范，满足国土空间规划和生态环境保护、安全生产、应急救援、资源利用、综合防灾减灾、交通运输等相关要求，原则上不再设立新的化工园区。12.推动我市沿黄重点地区拟建工业项目转入合规工业园区，严格控制高污染、高耗水、高耗能项目。</w:t>
                  </w:r>
                </w:p>
              </w:tc>
              <w:tc>
                <w:tcPr>
                  <w:tcW w:w="1113" w:type="pct"/>
                  <w:noWrap w:val="0"/>
                  <w:vAlign w:val="center"/>
                </w:tcPr>
                <w:p w14:paraId="76CB7F0A">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1.本项目不涉及；</w:t>
                  </w:r>
                </w:p>
                <w:p w14:paraId="1EC3C7BE">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2.本项目建设地点为河南省新乡市延津县石婆固乡西秦庄村012号，不在风景名胜区范围内；</w:t>
                  </w:r>
                </w:p>
                <w:p w14:paraId="760CA769">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3.本项目选址不在饮用水地表水水源各级保护区范围内；</w:t>
                  </w:r>
                </w:p>
                <w:p w14:paraId="22475570">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4.本项目不涉及；</w:t>
                  </w:r>
                </w:p>
                <w:p w14:paraId="5772F47C">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5.本项目不涉及；</w:t>
                  </w:r>
                </w:p>
                <w:p w14:paraId="153A149F">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6本项目不涉及；</w:t>
                  </w:r>
                </w:p>
                <w:p w14:paraId="2B6E64B1">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7.本项目不涉及；</w:t>
                  </w:r>
                </w:p>
                <w:p w14:paraId="375540D9">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8.本项目不涉及；</w:t>
                  </w:r>
                </w:p>
                <w:p w14:paraId="1CF1B679">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9.本项目为新建项目，属于镍氢电池制造行业，不属于“两高”项目，选址符合当地规划；</w:t>
                  </w:r>
                </w:p>
                <w:p w14:paraId="75246C3E">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10.本项目不涉及；</w:t>
                  </w:r>
                </w:p>
                <w:p w14:paraId="43B67DDA">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11.本项目不涉及；</w:t>
                  </w:r>
                </w:p>
                <w:p w14:paraId="6242B4E2">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12.本项目不涉及。</w:t>
                  </w:r>
                </w:p>
              </w:tc>
              <w:tc>
                <w:tcPr>
                  <w:tcW w:w="330" w:type="pct"/>
                  <w:noWrap w:val="0"/>
                  <w:vAlign w:val="center"/>
                </w:tcPr>
                <w:p w14:paraId="48B7E324">
                  <w:pPr>
                    <w:adjustRightInd w:val="0"/>
                    <w:snapToGrid w:val="0"/>
                    <w:jc w:val="center"/>
                    <w:textAlignment w:val="baseline"/>
                    <w:rPr>
                      <w:color w:val="auto"/>
                      <w:szCs w:val="21"/>
                    </w:rPr>
                  </w:pPr>
                  <w:r>
                    <w:rPr>
                      <w:rFonts w:hAnsi="宋体"/>
                      <w:color w:val="auto"/>
                      <w:szCs w:val="21"/>
                    </w:rPr>
                    <w:t>符合</w:t>
                  </w:r>
                </w:p>
              </w:tc>
            </w:tr>
            <w:tr w14:paraId="11E1657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1FDD562A">
                  <w:pPr>
                    <w:adjustRightInd w:val="0"/>
                    <w:snapToGrid w:val="0"/>
                    <w:jc w:val="center"/>
                    <w:textAlignment w:val="baseline"/>
                    <w:rPr>
                      <w:rFonts w:hAnsi="宋体"/>
                      <w:color w:val="auto"/>
                      <w:szCs w:val="21"/>
                    </w:rPr>
                  </w:pPr>
                </w:p>
              </w:tc>
              <w:tc>
                <w:tcPr>
                  <w:tcW w:w="419" w:type="pct"/>
                  <w:noWrap w:val="0"/>
                  <w:vAlign w:val="center"/>
                </w:tcPr>
                <w:p w14:paraId="6D4B4F33">
                  <w:pPr>
                    <w:adjustRightInd w:val="0"/>
                    <w:snapToGrid w:val="0"/>
                    <w:jc w:val="both"/>
                    <w:textAlignment w:val="baseline"/>
                    <w:rPr>
                      <w:rFonts w:hint="eastAsia" w:hAnsi="宋体"/>
                      <w:color w:val="auto"/>
                      <w:szCs w:val="21"/>
                    </w:rPr>
                  </w:pPr>
                  <w:r>
                    <w:rPr>
                      <w:rFonts w:hint="eastAsia" w:hAnsi="宋体"/>
                      <w:color w:val="auto"/>
                      <w:szCs w:val="21"/>
                    </w:rPr>
                    <w:t>污染物排放管控</w:t>
                  </w:r>
                </w:p>
              </w:tc>
              <w:tc>
                <w:tcPr>
                  <w:tcW w:w="2648" w:type="pct"/>
                  <w:noWrap w:val="0"/>
                  <w:vAlign w:val="center"/>
                </w:tcPr>
                <w:p w14:paraId="3965B0A4">
                  <w:pPr>
                    <w:adjustRightInd w:val="0"/>
                    <w:snapToGrid w:val="0"/>
                    <w:jc w:val="both"/>
                    <w:textAlignment w:val="baseline"/>
                    <w:rPr>
                      <w:rFonts w:hint="eastAsia" w:hAnsi="宋体"/>
                      <w:color w:val="auto"/>
                      <w:szCs w:val="21"/>
                    </w:rPr>
                  </w:pPr>
                  <w:r>
                    <w:rPr>
                      <w:rFonts w:hAnsi="宋体"/>
                      <w:color w:val="auto"/>
                      <w:szCs w:val="21"/>
                    </w:rPr>
                    <w:t>1.新、改、扩建项目主要污染物排放要求满足当地总量减排要求。2.十四五末，共产主义渠、西柳青河达到Ⅳ类指标，卫河、文岩渠、天然渠、天然文岩渠、黄庄河达到Ⅲ类指标；城市集中式饮用水水源地取水水质达标率达到100%；地下水质量考核点位水质级别保持稳定；确保完成国家水质考核目标。全市建成区全面消除黑臭水体，县（市）建成区基本完成黑臭水体整治任务。重点治理市域内卫河、共产主义渠、东孟姜女河等海河流域河流，以及西柳青河、天然渠、文岩渠等黄河流域河流，全面开展清河行动、实施河道清淤、规范入河排污口管理，统筹推进水污染综 合整治及水生态保护修复，提升河流自净能力，建立生态调水长效机制，保障河流水质稳定达标。禁止以任何方式直接向水功能 区要求为Ⅱ类的水体和地表水型集中式生活饮用水水源保护区内的水体排放污水；污水排入黄河干流、黄河一级支流和涉及Ⅲ类 水功能区要求的其它水体时，执行一级标准；污水排入除上述水体以外的其它河流、湖泊、水库、运河、渠道、湿地、坑塘、蓄滞洪区等地表水体时，执行二级标准。3.全面推进城镇（园区）污水处理厂Ⅴ类水提标改造工程建设，市、县（市、区）污水处理率、城市污泥无害化处置率达到政府目标任务。到2025年，黄河流域内现有污水处理厂完成提质增效改造，确保出水稳定达到《河南省黄河流域水污染物排放标准》 （DB41/2087-2021）。4.严控新增重金属污染物排放量，在重有色金属冶炼业（铜、铅锌、镍、钴、锡、锑和汞冶炼等）、铅蓄电池制造业、皮革及其 制品业（皮革鞣制加工等）、化学原料及化学制品制造业（电石法聚氯乙烯行业、铬盐行业等）、电镀行业等重点行业实施重点 重金属减量替代。新、改、扩建涉重金属重点行业建设项目应遵循重点重金属污染物排放“减量替代”原则，应符合《新乡市“十 四五”重金属污染防控工作方案》相关要求。5.全面推进企业清洁生产，完善省级产业集聚区污水处理设施水平。加强造纸、氮肥、农副食品加工、毛皮制革、印染、有色金属、原料药制造、电镀等水污染物排放行业重点企业强制性清洁生产审核，全面推进其清洁生产改造或清洁化改造。省级产业集 聚区建成区域必须实现管网全配套，污水集中处理设施必须做到稳定达标运行，同时安装自动在线监控装置，6.测土配方施肥技术推广覆盖率、绿色防控覆盖率达到政府目标任务，实现化肥农药施用量零增长。7.实施节能降碳增效行动，提高能源利用效率，推动电力、钢铁、有色金属、建材、石化化工等行业绿色转型发展。8.国家、省绩效分级重点行业以及涉及锅炉炉窑的其他行业，新建、扩建项目污染物排放限值、污染治理措施、无组织排放控 制水平、运输方式等达到A级绩效水平，改建项目污染物排放限值、污染治理措施、无组织排放控制水平、运输方式等达到B级以上绩效水平。</w:t>
                  </w:r>
                </w:p>
              </w:tc>
              <w:tc>
                <w:tcPr>
                  <w:tcW w:w="1113" w:type="pct"/>
                  <w:noWrap w:val="0"/>
                  <w:vAlign w:val="center"/>
                </w:tcPr>
                <w:p w14:paraId="0338335D">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1.本项目属于新建项目，不涉及主要污染物排放，无需进行总量替代；</w:t>
                  </w:r>
                </w:p>
                <w:p w14:paraId="2E8217D3">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2.本项目不涉及；</w:t>
                  </w:r>
                </w:p>
                <w:p w14:paraId="46C6AEE4">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3.本项目不涉及；</w:t>
                  </w:r>
                </w:p>
                <w:p w14:paraId="41E995B7">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4.本项目不涉及；</w:t>
                  </w:r>
                </w:p>
                <w:p w14:paraId="22F174BD">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5.本项目不涉及；</w:t>
                  </w:r>
                </w:p>
                <w:p w14:paraId="7DBB630A">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6.本项目不涉及；</w:t>
                  </w:r>
                </w:p>
                <w:p w14:paraId="117D10E4">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7.本项目不涉及；</w:t>
                  </w:r>
                </w:p>
                <w:p w14:paraId="4256DA7E">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8.本项目不涉及；</w:t>
                  </w:r>
                </w:p>
              </w:tc>
              <w:tc>
                <w:tcPr>
                  <w:tcW w:w="330" w:type="pct"/>
                  <w:noWrap w:val="0"/>
                  <w:vAlign w:val="center"/>
                </w:tcPr>
                <w:p w14:paraId="75FC75E6">
                  <w:pPr>
                    <w:adjustRightInd w:val="0"/>
                    <w:snapToGrid w:val="0"/>
                    <w:jc w:val="center"/>
                    <w:textAlignment w:val="baseline"/>
                    <w:rPr>
                      <w:rFonts w:hAnsi="宋体"/>
                      <w:color w:val="auto"/>
                      <w:szCs w:val="21"/>
                    </w:rPr>
                  </w:pPr>
                  <w:r>
                    <w:rPr>
                      <w:rFonts w:hAnsi="宋体"/>
                      <w:color w:val="auto"/>
                      <w:szCs w:val="21"/>
                    </w:rPr>
                    <w:t>符合</w:t>
                  </w:r>
                </w:p>
              </w:tc>
            </w:tr>
            <w:tr w14:paraId="05A689F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0FD3E3D9">
                  <w:pPr>
                    <w:adjustRightInd w:val="0"/>
                    <w:snapToGrid w:val="0"/>
                    <w:jc w:val="center"/>
                    <w:textAlignment w:val="baseline"/>
                    <w:rPr>
                      <w:rFonts w:hAnsi="宋体"/>
                      <w:color w:val="auto"/>
                      <w:szCs w:val="21"/>
                    </w:rPr>
                  </w:pPr>
                </w:p>
              </w:tc>
              <w:tc>
                <w:tcPr>
                  <w:tcW w:w="419" w:type="pct"/>
                  <w:noWrap w:val="0"/>
                  <w:vAlign w:val="center"/>
                </w:tcPr>
                <w:p w14:paraId="3FF1421F">
                  <w:pPr>
                    <w:adjustRightInd w:val="0"/>
                    <w:snapToGrid w:val="0"/>
                    <w:jc w:val="both"/>
                    <w:textAlignment w:val="baseline"/>
                    <w:rPr>
                      <w:rFonts w:hint="eastAsia" w:hAnsi="宋体"/>
                      <w:color w:val="auto"/>
                      <w:szCs w:val="21"/>
                    </w:rPr>
                  </w:pPr>
                  <w:r>
                    <w:rPr>
                      <w:rFonts w:hint="eastAsia" w:hAnsi="宋体"/>
                      <w:color w:val="auto"/>
                      <w:szCs w:val="21"/>
                    </w:rPr>
                    <w:t>环境风险防控</w:t>
                  </w:r>
                </w:p>
              </w:tc>
              <w:tc>
                <w:tcPr>
                  <w:tcW w:w="2648" w:type="pct"/>
                  <w:noWrap w:val="0"/>
                  <w:vAlign w:val="center"/>
                </w:tcPr>
                <w:p w14:paraId="0EAB55C7">
                  <w:pPr>
                    <w:adjustRightInd w:val="0"/>
                    <w:snapToGrid w:val="0"/>
                    <w:jc w:val="both"/>
                    <w:textAlignment w:val="baseline"/>
                    <w:rPr>
                      <w:rFonts w:hint="eastAsia" w:hAnsi="宋体"/>
                      <w:color w:val="auto"/>
                      <w:szCs w:val="21"/>
                      <w:lang w:val="en-US" w:eastAsia="zh-CN"/>
                    </w:rPr>
                  </w:pPr>
                  <w:r>
                    <w:rPr>
                      <w:rFonts w:hAnsi="宋体"/>
                      <w:color w:val="auto"/>
                      <w:szCs w:val="21"/>
                    </w:rPr>
                    <w:t>1.地下水漏斗区、重金属污染区、生态严重退化区等区域：探索开展耕地轮作休耕试点；实行休耕补贴，引导农民自愿将重度污 染耕地退出农业生产。2.具备饮用水水源保护区及影响范围内风险源名录和风险防控方案、饮用水水源地突发环境事件应急处置技术方案及应急专家 库、应急监测能力。定期或不定期开展饮用水水源地周边环境安全隐患排查及饮用水水源地环境风险评估。饮用水水源地有专项 应急预案，做到“一源一案”，按照环境保护主管部门要求备案并定演练和修订预案。饮用水水源地周边高风险区域设有应急物 资（装备）储备库及事故应急池等应急防护工程，上游连接水体设有节制闸、拦污坝、导流渠、调水沟渠等防护工程设施。</w:t>
                  </w:r>
                </w:p>
              </w:tc>
              <w:tc>
                <w:tcPr>
                  <w:tcW w:w="1113" w:type="pct"/>
                  <w:noWrap w:val="0"/>
                  <w:vAlign w:val="center"/>
                </w:tcPr>
                <w:p w14:paraId="22111A77">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1.本项目不涉及；</w:t>
                  </w:r>
                </w:p>
                <w:p w14:paraId="6243DD5E">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2.本项目不涉及；</w:t>
                  </w:r>
                </w:p>
              </w:tc>
              <w:tc>
                <w:tcPr>
                  <w:tcW w:w="330" w:type="pct"/>
                  <w:noWrap w:val="0"/>
                  <w:vAlign w:val="center"/>
                </w:tcPr>
                <w:p w14:paraId="7C5D2C76">
                  <w:pPr>
                    <w:adjustRightInd w:val="0"/>
                    <w:snapToGrid w:val="0"/>
                    <w:jc w:val="center"/>
                    <w:textAlignment w:val="baseline"/>
                    <w:rPr>
                      <w:rFonts w:hAnsi="宋体"/>
                      <w:color w:val="auto"/>
                      <w:szCs w:val="21"/>
                    </w:rPr>
                  </w:pPr>
                  <w:r>
                    <w:rPr>
                      <w:rFonts w:hAnsi="宋体"/>
                      <w:color w:val="auto"/>
                      <w:szCs w:val="21"/>
                    </w:rPr>
                    <w:t>符合</w:t>
                  </w:r>
                </w:p>
              </w:tc>
            </w:tr>
            <w:tr w14:paraId="6623E22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1FC19296">
                  <w:pPr>
                    <w:adjustRightInd w:val="0"/>
                    <w:snapToGrid w:val="0"/>
                    <w:jc w:val="center"/>
                    <w:textAlignment w:val="baseline"/>
                    <w:rPr>
                      <w:rFonts w:hAnsi="宋体"/>
                      <w:color w:val="auto"/>
                      <w:szCs w:val="21"/>
                    </w:rPr>
                  </w:pPr>
                </w:p>
              </w:tc>
              <w:tc>
                <w:tcPr>
                  <w:tcW w:w="419" w:type="pct"/>
                  <w:noWrap w:val="0"/>
                  <w:vAlign w:val="center"/>
                </w:tcPr>
                <w:p w14:paraId="524C2BAE">
                  <w:pPr>
                    <w:adjustRightInd w:val="0"/>
                    <w:snapToGrid w:val="0"/>
                    <w:jc w:val="both"/>
                    <w:textAlignment w:val="baseline"/>
                    <w:rPr>
                      <w:rFonts w:hint="eastAsia" w:hAnsi="宋体"/>
                      <w:color w:val="auto"/>
                      <w:szCs w:val="21"/>
                    </w:rPr>
                  </w:pPr>
                  <w:r>
                    <w:rPr>
                      <w:rFonts w:hint="eastAsia" w:hAnsi="宋体"/>
                      <w:color w:val="auto"/>
                      <w:szCs w:val="21"/>
                    </w:rPr>
                    <w:t>资源开发效率要求</w:t>
                  </w:r>
                </w:p>
              </w:tc>
              <w:tc>
                <w:tcPr>
                  <w:tcW w:w="2648" w:type="pct"/>
                  <w:noWrap w:val="0"/>
                  <w:vAlign w:val="center"/>
                </w:tcPr>
                <w:p w14:paraId="13B4748E">
                  <w:pPr>
                    <w:adjustRightInd w:val="0"/>
                    <w:snapToGrid w:val="0"/>
                    <w:jc w:val="both"/>
                    <w:textAlignment w:val="baseline"/>
                    <w:rPr>
                      <w:rFonts w:hint="eastAsia" w:hAnsi="宋体"/>
                      <w:color w:val="auto"/>
                      <w:szCs w:val="21"/>
                      <w:lang w:val="en-US" w:eastAsia="zh-CN"/>
                    </w:rPr>
                  </w:pPr>
                  <w:r>
                    <w:rPr>
                      <w:rFonts w:hAnsi="宋体"/>
                      <w:color w:val="auto"/>
                      <w:szCs w:val="21"/>
                    </w:rPr>
                    <w:t>1.“十四五”期间按照政府目标控制能耗增量指标。严控新增耗煤项目，新、改、扩建项目实施煤炭减量替代，重点削减非电力 用煤。鼓励使用清洁燃料，重点区域建设项目原则上不新建燃煤自备锅炉。2023年底，全面淘汰35蒸吨/小时及以下的燃煤锅炉，鼓励淘汰4蒸吨/小时以下生物质锅炉，保留现有生物质锅炉应采用专用炉具，禁止掺烧煤炭、垃圾、工业固体废物等其他 物料。2.重点推进南水北调受水区地下水压采工作，加快公共供水管网建设，促进供水管网覆盖范围以外的自备井封闭工作。3.开展高耗水工业行业节水技术改造，大力推广工业水循环利用，推进节水型企业、节水型工业园区建设。4.按照合理有序使用地表水、控制使用地下水、积极利用非常规水源的要求，做好区域水资源统筹调配，逐步降低区域内的水资源开发利用强度，退减被挤占的生态用水，2030年全市浅层地下水开采控制在 57390 万立方米。5.到2025年，全市用水总量为20.838亿m</w:t>
                  </w:r>
                  <w:r>
                    <w:rPr>
                      <w:rFonts w:hAnsi="宋体"/>
                      <w:color w:val="auto"/>
                      <w:szCs w:val="21"/>
                      <w:vertAlign w:val="superscript"/>
                    </w:rPr>
                    <w:t>3</w:t>
                  </w:r>
                  <w:r>
                    <w:rPr>
                      <w:rFonts w:hAnsi="宋体"/>
                      <w:color w:val="auto"/>
                      <w:szCs w:val="21"/>
                    </w:rPr>
                    <w:t>，万元GDP用水量下降比例达到16%，全省市级缺水城市再生水利用率达到25%以上。6.二级国家级公益林在不影响整体森林生态系统功能发挥的前提下，可以按照相关技术规程的规定开展抚育和更新性质的采伐。在不破坏森林植被的前提下，可以合理利用其林地资源，适度开展林下种植养殖和森林游憩等非木质资源开发与利用，科学发展林下经济。国有二级国家级公益林除执行上述规定外，需要开展抚育和更新采伐或者非木质资源培育利用的，还应当符合森林经营方案的规划，并编制采伐或非木质资源培育利用作业设计，经县级以上林业主管部门依法批准后实施。7.禁燃区内禁止新建、扩建燃用高污染燃料的锅炉、炉窑、炉灶等燃烧设施，已建成的应当由所在辖区限期责令拆除或改用清洁能源；禁止加工、销售各类高污染燃料。8.到2025年，煤炭消费占比降至60%以下，非化石能源消费占比提高到16%以上。单位GDP（生产总值）能耗下降15%以上，煤电机组平均供电煤耗降至285克标准煤/千瓦时。9.到2025年，单位GDP二氧化碳排放降低比例达20%。10.到2025年，全市河湖生态缓冲带修复长度达到总体要求，逐步恢复河流沿线生态廊道功能。海河流域内涉及被挤占的河湖生态用水逐步得到退还，黄河流域内天然文岩渠生态流量得到保障</w:t>
                  </w:r>
                  <w:r>
                    <w:rPr>
                      <w:rFonts w:hint="eastAsia" w:hAnsi="宋体"/>
                      <w:color w:val="auto"/>
                      <w:szCs w:val="21"/>
                      <w:lang w:eastAsia="zh-CN"/>
                    </w:rPr>
                    <w:t>。</w:t>
                  </w:r>
                </w:p>
              </w:tc>
              <w:tc>
                <w:tcPr>
                  <w:tcW w:w="1113" w:type="pct"/>
                  <w:noWrap w:val="0"/>
                  <w:vAlign w:val="center"/>
                </w:tcPr>
                <w:p w14:paraId="252F374F">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1.本项目不涉及；</w:t>
                  </w:r>
                </w:p>
                <w:p w14:paraId="363DCE0A">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2.本项目不涉及；</w:t>
                  </w:r>
                </w:p>
                <w:p w14:paraId="4C544FBD">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3.本项目不涉及；</w:t>
                  </w:r>
                </w:p>
                <w:p w14:paraId="52452A65">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4.本项目不涉及；</w:t>
                  </w:r>
                </w:p>
                <w:p w14:paraId="39370B19">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5.本项目不涉及；</w:t>
                  </w:r>
                </w:p>
                <w:p w14:paraId="1C78B33D">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6.本项目不涉及；7.本项目不涉及；</w:t>
                  </w:r>
                </w:p>
                <w:p w14:paraId="3EAB54B8">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8.本项目不涉及；9.本项目不涉及；</w:t>
                  </w:r>
                </w:p>
                <w:p w14:paraId="07368EA4">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10.本项目不涉及。</w:t>
                  </w:r>
                </w:p>
              </w:tc>
              <w:tc>
                <w:tcPr>
                  <w:tcW w:w="330" w:type="pct"/>
                  <w:noWrap w:val="0"/>
                  <w:vAlign w:val="center"/>
                </w:tcPr>
                <w:p w14:paraId="3993A1DC">
                  <w:pPr>
                    <w:adjustRightInd w:val="0"/>
                    <w:snapToGrid w:val="0"/>
                    <w:jc w:val="center"/>
                    <w:textAlignment w:val="baseline"/>
                    <w:rPr>
                      <w:rFonts w:hAnsi="宋体"/>
                      <w:color w:val="auto"/>
                      <w:szCs w:val="21"/>
                    </w:rPr>
                  </w:pPr>
                  <w:r>
                    <w:rPr>
                      <w:rFonts w:hAnsi="宋体"/>
                      <w:color w:val="auto"/>
                      <w:szCs w:val="21"/>
                    </w:rPr>
                    <w:t>符合</w:t>
                  </w:r>
                </w:p>
              </w:tc>
            </w:tr>
            <w:tr w14:paraId="4199E2D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restart"/>
                  <w:noWrap w:val="0"/>
                  <w:vAlign w:val="center"/>
                </w:tcPr>
                <w:p w14:paraId="13A19799">
                  <w:pPr>
                    <w:adjustRightInd w:val="0"/>
                    <w:snapToGrid w:val="0"/>
                    <w:jc w:val="both"/>
                    <w:textAlignment w:val="baseline"/>
                    <w:rPr>
                      <w:rFonts w:hint="eastAsia" w:hAnsi="宋体" w:cs="Times New Roman"/>
                      <w:color w:val="auto"/>
                      <w:szCs w:val="21"/>
                      <w:lang w:val="en-US" w:eastAsia="zh-CN"/>
                    </w:rPr>
                  </w:pPr>
                  <w:r>
                    <w:rPr>
                      <w:rFonts w:hint="eastAsia" w:hAnsi="宋体"/>
                      <w:color w:val="auto"/>
                      <w:szCs w:val="21"/>
                      <w:lang w:val="en-US" w:eastAsia="zh-CN"/>
                    </w:rPr>
                    <w:t>重点管控单元5-延津县水重点、大气布局敏感区-</w:t>
                  </w:r>
                  <w:r>
                    <w:rPr>
                      <w:rFonts w:hint="eastAsia" w:hAnsi="宋体" w:cs="Times New Roman"/>
                      <w:color w:val="auto"/>
                      <w:szCs w:val="21"/>
                      <w:lang w:val="en-US" w:eastAsia="zh-CN"/>
                    </w:rPr>
                    <w:t xml:space="preserve">司寨乡、马庄乡、王楼镇、魏邱乡、 </w:t>
                  </w:r>
                </w:p>
                <w:p w14:paraId="133C3061">
                  <w:pPr>
                    <w:keepNext w:val="0"/>
                    <w:keepLines w:val="0"/>
                    <w:widowControl/>
                    <w:suppressLineNumbers w:val="0"/>
                    <w:jc w:val="left"/>
                    <w:rPr>
                      <w:rFonts w:hint="default" w:hAnsi="宋体"/>
                      <w:color w:val="auto"/>
                      <w:szCs w:val="21"/>
                      <w:lang w:val="en-US" w:eastAsia="zh-CN"/>
                    </w:rPr>
                  </w:pPr>
                  <w:r>
                    <w:rPr>
                      <w:rFonts w:hint="eastAsia" w:hAnsi="宋体" w:cs="Times New Roman"/>
                      <w:color w:val="auto"/>
                      <w:szCs w:val="21"/>
                      <w:lang w:val="en-US" w:eastAsia="zh-CN"/>
                    </w:rPr>
                    <w:t>石婆固镇、胙城乡、榆林乡、丰庄、东屯镇</w:t>
                  </w:r>
                </w:p>
              </w:tc>
              <w:tc>
                <w:tcPr>
                  <w:tcW w:w="419" w:type="pct"/>
                  <w:noWrap w:val="0"/>
                  <w:vAlign w:val="center"/>
                </w:tcPr>
                <w:p w14:paraId="6240A010">
                  <w:pPr>
                    <w:adjustRightInd w:val="0"/>
                    <w:snapToGrid w:val="0"/>
                    <w:jc w:val="both"/>
                    <w:textAlignment w:val="baseline"/>
                    <w:rPr>
                      <w:rFonts w:hint="default" w:hAnsi="宋体"/>
                      <w:color w:val="auto"/>
                      <w:szCs w:val="21"/>
                      <w:lang w:val="en-US" w:eastAsia="zh-CN"/>
                    </w:rPr>
                  </w:pPr>
                  <w:r>
                    <w:rPr>
                      <w:rFonts w:hint="eastAsia" w:hAnsi="宋体"/>
                      <w:color w:val="auto"/>
                      <w:szCs w:val="21"/>
                      <w:lang w:val="en-US" w:eastAsia="zh-CN"/>
                    </w:rPr>
                    <w:t>空间布局约束</w:t>
                  </w:r>
                </w:p>
              </w:tc>
              <w:tc>
                <w:tcPr>
                  <w:tcW w:w="2648" w:type="pct"/>
                  <w:noWrap w:val="0"/>
                  <w:vAlign w:val="center"/>
                </w:tcPr>
                <w:p w14:paraId="3B01E659">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1、严格控制新建、扩建高排放、高污染项目，包括钢铁、水泥、有色、平板玻璃、建筑陶瓷等行业及其他排放重金属、持久性有机污染物的工业项目等。</w:t>
                  </w:r>
                </w:p>
                <w:p w14:paraId="2D84454F">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 xml:space="preserve">2、严格控制新、改、扩建“两高”项目。 </w:t>
                  </w:r>
                </w:p>
              </w:tc>
              <w:tc>
                <w:tcPr>
                  <w:tcW w:w="1113" w:type="pct"/>
                  <w:noWrap w:val="0"/>
                  <w:vAlign w:val="center"/>
                </w:tcPr>
                <w:p w14:paraId="1AE159D9">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本项目属于镍氢电池制造行业，不属于高排放、高污染项目；</w:t>
                  </w:r>
                </w:p>
              </w:tc>
              <w:tc>
                <w:tcPr>
                  <w:tcW w:w="330" w:type="pct"/>
                  <w:noWrap w:val="0"/>
                  <w:vAlign w:val="center"/>
                </w:tcPr>
                <w:p w14:paraId="68CD7632">
                  <w:pPr>
                    <w:adjustRightInd w:val="0"/>
                    <w:snapToGrid w:val="0"/>
                    <w:jc w:val="center"/>
                    <w:textAlignment w:val="baseline"/>
                    <w:rPr>
                      <w:rFonts w:hAnsi="宋体"/>
                      <w:color w:val="auto"/>
                      <w:szCs w:val="21"/>
                    </w:rPr>
                  </w:pPr>
                  <w:r>
                    <w:rPr>
                      <w:rFonts w:hAnsi="宋体"/>
                      <w:color w:val="auto"/>
                      <w:szCs w:val="21"/>
                    </w:rPr>
                    <w:t>符合</w:t>
                  </w:r>
                </w:p>
              </w:tc>
            </w:tr>
            <w:tr w14:paraId="1C2D796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1E474D80">
                  <w:pPr>
                    <w:adjustRightInd w:val="0"/>
                    <w:snapToGrid w:val="0"/>
                    <w:jc w:val="both"/>
                    <w:textAlignment w:val="baseline"/>
                    <w:rPr>
                      <w:rFonts w:hint="eastAsia" w:hAnsi="宋体"/>
                      <w:color w:val="auto"/>
                      <w:szCs w:val="21"/>
                      <w:lang w:val="en-US" w:eastAsia="zh-CN"/>
                    </w:rPr>
                  </w:pPr>
                </w:p>
              </w:tc>
              <w:tc>
                <w:tcPr>
                  <w:tcW w:w="419" w:type="pct"/>
                  <w:noWrap w:val="0"/>
                  <w:vAlign w:val="center"/>
                </w:tcPr>
                <w:p w14:paraId="078B86F7">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污染物</w:t>
                  </w:r>
                </w:p>
                <w:p w14:paraId="3414FFE1">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排放管控</w:t>
                  </w:r>
                </w:p>
              </w:tc>
              <w:tc>
                <w:tcPr>
                  <w:tcW w:w="2648" w:type="pct"/>
                  <w:noWrap w:val="0"/>
                  <w:vAlign w:val="center"/>
                </w:tcPr>
                <w:p w14:paraId="4D0FBEFA">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1、二氧化硫、氮氧化物、颗粒物、VOCs全面执行大气污染物特别排放限值。</w:t>
                  </w:r>
                </w:p>
                <w:p w14:paraId="11359980">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2、鼓励规模以下畜禽养殖户采用“种养结合”“截污建池、收运还田”等模式处理。</w:t>
                  </w:r>
                </w:p>
              </w:tc>
              <w:tc>
                <w:tcPr>
                  <w:tcW w:w="1113" w:type="pct"/>
                  <w:noWrap w:val="0"/>
                  <w:vAlign w:val="center"/>
                </w:tcPr>
                <w:p w14:paraId="50F1E459">
                  <w:pPr>
                    <w:keepNext w:val="0"/>
                    <w:keepLines w:val="0"/>
                    <w:widowControl/>
                    <w:suppressLineNumbers w:val="0"/>
                    <w:jc w:val="left"/>
                    <w:rPr>
                      <w:rFonts w:hint="default" w:hAnsi="宋体" w:cs="Times New Roman"/>
                      <w:color w:val="auto"/>
                      <w:szCs w:val="21"/>
                      <w:lang w:val="en-US" w:eastAsia="zh-CN"/>
                    </w:rPr>
                  </w:pPr>
                  <w:r>
                    <w:rPr>
                      <w:rFonts w:hint="eastAsia" w:hAnsi="宋体" w:cs="Times New Roman"/>
                      <w:color w:val="auto"/>
                      <w:szCs w:val="21"/>
                      <w:lang w:val="en-US" w:eastAsia="zh-CN"/>
                    </w:rPr>
                    <w:t>1、本项目在生产运营过程中不涉及废气产生；</w:t>
                  </w:r>
                </w:p>
                <w:p w14:paraId="59780D99">
                  <w:pPr>
                    <w:keepNext w:val="0"/>
                    <w:keepLines w:val="0"/>
                    <w:widowControl/>
                    <w:suppressLineNumbers w:val="0"/>
                    <w:jc w:val="left"/>
                    <w:rPr>
                      <w:rFonts w:hint="default" w:hAnsi="宋体" w:cs="Times New Roman"/>
                      <w:color w:val="auto"/>
                      <w:szCs w:val="21"/>
                      <w:lang w:val="en-US" w:eastAsia="zh-CN"/>
                    </w:rPr>
                  </w:pPr>
                  <w:r>
                    <w:rPr>
                      <w:rFonts w:hint="eastAsia" w:hAnsi="宋体" w:cs="Times New Roman"/>
                      <w:color w:val="auto"/>
                      <w:szCs w:val="21"/>
                      <w:lang w:val="en-US" w:eastAsia="zh-CN"/>
                    </w:rPr>
                    <w:t>2、本项目不涉及。</w:t>
                  </w:r>
                </w:p>
              </w:tc>
              <w:tc>
                <w:tcPr>
                  <w:tcW w:w="330" w:type="pct"/>
                  <w:noWrap w:val="0"/>
                  <w:vAlign w:val="center"/>
                </w:tcPr>
                <w:p w14:paraId="1CD522DC">
                  <w:pPr>
                    <w:adjustRightInd w:val="0"/>
                    <w:snapToGrid w:val="0"/>
                    <w:jc w:val="center"/>
                    <w:textAlignment w:val="baseline"/>
                    <w:rPr>
                      <w:rFonts w:hAnsi="宋体"/>
                      <w:color w:val="auto"/>
                      <w:szCs w:val="21"/>
                    </w:rPr>
                  </w:pPr>
                  <w:r>
                    <w:rPr>
                      <w:rFonts w:hAnsi="宋体"/>
                      <w:color w:val="auto"/>
                      <w:szCs w:val="21"/>
                    </w:rPr>
                    <w:t>符合</w:t>
                  </w:r>
                </w:p>
              </w:tc>
            </w:tr>
            <w:tr w14:paraId="0E0E0E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7BBDCD37">
                  <w:pPr>
                    <w:adjustRightInd w:val="0"/>
                    <w:snapToGrid w:val="0"/>
                    <w:jc w:val="both"/>
                    <w:textAlignment w:val="baseline"/>
                    <w:rPr>
                      <w:rFonts w:hint="eastAsia" w:hAnsi="宋体"/>
                      <w:color w:val="auto"/>
                      <w:szCs w:val="21"/>
                      <w:lang w:val="en-US" w:eastAsia="zh-CN"/>
                    </w:rPr>
                  </w:pPr>
                </w:p>
              </w:tc>
              <w:tc>
                <w:tcPr>
                  <w:tcW w:w="419" w:type="pct"/>
                  <w:noWrap w:val="0"/>
                  <w:vAlign w:val="center"/>
                </w:tcPr>
                <w:p w14:paraId="4B3CE280">
                  <w:pPr>
                    <w:adjustRightInd w:val="0"/>
                    <w:snapToGrid w:val="0"/>
                    <w:jc w:val="both"/>
                    <w:textAlignment w:val="baseline"/>
                    <w:rPr>
                      <w:rFonts w:hint="eastAsia" w:hAnsi="宋体"/>
                      <w:color w:val="auto"/>
                      <w:szCs w:val="21"/>
                      <w:lang w:val="en-US" w:eastAsia="zh-CN"/>
                    </w:rPr>
                  </w:pPr>
                  <w:r>
                    <w:rPr>
                      <w:rFonts w:hint="eastAsia" w:hAnsi="宋体"/>
                      <w:color w:val="auto"/>
                      <w:szCs w:val="21"/>
                      <w:lang w:val="en-US" w:eastAsia="zh-CN"/>
                    </w:rPr>
                    <w:t>环境风险防控</w:t>
                  </w:r>
                </w:p>
              </w:tc>
              <w:tc>
                <w:tcPr>
                  <w:tcW w:w="2648" w:type="pct"/>
                  <w:noWrap w:val="0"/>
                  <w:vAlign w:val="center"/>
                </w:tcPr>
                <w:p w14:paraId="3B7BC4B7">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1、在基础设施和企业内部生产运营管理中，认真落实环境风险防范措施，杜绝发生污染事故。</w:t>
                  </w:r>
                </w:p>
                <w:p w14:paraId="1AFBA82D">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2、区内具有重大危险源的企业应在厂区内修建消防废水应急水池，在发生事故时，对消防废水或未经处理的高浓度废水进行收集，防止对地表水产生影响。</w:t>
                  </w:r>
                </w:p>
              </w:tc>
              <w:tc>
                <w:tcPr>
                  <w:tcW w:w="1113" w:type="pct"/>
                  <w:noWrap w:val="0"/>
                  <w:vAlign w:val="center"/>
                </w:tcPr>
                <w:p w14:paraId="338379DB">
                  <w:pPr>
                    <w:keepNext w:val="0"/>
                    <w:keepLines w:val="0"/>
                    <w:widowControl/>
                    <w:suppressLineNumbers w:val="0"/>
                    <w:jc w:val="left"/>
                    <w:rPr>
                      <w:rFonts w:hint="eastAsia" w:hAnsi="宋体" w:cs="Times New Roman"/>
                      <w:color w:val="auto"/>
                      <w:sz w:val="21"/>
                      <w:szCs w:val="21"/>
                      <w:lang w:val="en-US" w:eastAsia="zh-CN"/>
                    </w:rPr>
                  </w:pPr>
                  <w:r>
                    <w:rPr>
                      <w:rFonts w:hint="eastAsia" w:hAnsi="宋体" w:cs="Times New Roman"/>
                      <w:color w:val="auto"/>
                      <w:sz w:val="21"/>
                      <w:szCs w:val="21"/>
                      <w:lang w:val="en-US" w:eastAsia="zh-CN"/>
                    </w:rPr>
                    <w:t>1、本项目在基础设施和企业内部生产运营管理中，认真落实环境风险防范措施，杜绝发生污染事故；</w:t>
                  </w:r>
                </w:p>
                <w:p w14:paraId="0E7A72A7">
                  <w:pPr>
                    <w:keepNext w:val="0"/>
                    <w:keepLines w:val="0"/>
                    <w:widowControl/>
                    <w:suppressLineNumbers w:val="0"/>
                    <w:jc w:val="left"/>
                    <w:rPr>
                      <w:rFonts w:hint="default" w:hAnsi="宋体" w:cs="Times New Roman"/>
                      <w:color w:val="auto"/>
                      <w:sz w:val="21"/>
                      <w:szCs w:val="21"/>
                      <w:lang w:val="en-US" w:eastAsia="zh-CN"/>
                    </w:rPr>
                  </w:pPr>
                  <w:r>
                    <w:rPr>
                      <w:rFonts w:hint="eastAsia" w:hAnsi="宋体" w:cs="Times New Roman"/>
                      <w:color w:val="auto"/>
                      <w:sz w:val="21"/>
                      <w:szCs w:val="21"/>
                      <w:lang w:val="en-US" w:eastAsia="zh-CN"/>
                    </w:rPr>
                    <w:t>2、本项目不涉及。</w:t>
                  </w:r>
                </w:p>
              </w:tc>
              <w:tc>
                <w:tcPr>
                  <w:tcW w:w="330" w:type="pct"/>
                  <w:noWrap w:val="0"/>
                  <w:vAlign w:val="center"/>
                </w:tcPr>
                <w:p w14:paraId="5ABE649E">
                  <w:pPr>
                    <w:adjustRightInd w:val="0"/>
                    <w:snapToGrid w:val="0"/>
                    <w:jc w:val="center"/>
                    <w:textAlignment w:val="baseline"/>
                    <w:rPr>
                      <w:rFonts w:hAnsi="宋体"/>
                      <w:color w:val="auto"/>
                      <w:szCs w:val="21"/>
                    </w:rPr>
                  </w:pPr>
                  <w:r>
                    <w:rPr>
                      <w:rFonts w:hAnsi="宋体"/>
                      <w:color w:val="auto"/>
                      <w:szCs w:val="21"/>
                    </w:rPr>
                    <w:t>符合</w:t>
                  </w:r>
                </w:p>
              </w:tc>
            </w:tr>
            <w:tr w14:paraId="4BB4F7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87" w:type="pct"/>
                  <w:vMerge w:val="continue"/>
                  <w:noWrap w:val="0"/>
                  <w:vAlign w:val="center"/>
                </w:tcPr>
                <w:p w14:paraId="06AD86E3">
                  <w:pPr>
                    <w:keepNext w:val="0"/>
                    <w:keepLines w:val="0"/>
                    <w:widowControl/>
                    <w:suppressLineNumbers w:val="0"/>
                    <w:jc w:val="left"/>
                    <w:rPr>
                      <w:rFonts w:hint="eastAsia" w:hAnsi="宋体" w:cs="Times New Roman"/>
                      <w:color w:val="auto"/>
                      <w:szCs w:val="21"/>
                      <w:lang w:val="en-US" w:eastAsia="zh-CN"/>
                    </w:rPr>
                  </w:pPr>
                </w:p>
              </w:tc>
              <w:tc>
                <w:tcPr>
                  <w:tcW w:w="419" w:type="pct"/>
                  <w:noWrap w:val="0"/>
                  <w:vAlign w:val="center"/>
                </w:tcPr>
                <w:p w14:paraId="3FE27E0A">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资源利用效率要求</w:t>
                  </w:r>
                </w:p>
              </w:tc>
              <w:tc>
                <w:tcPr>
                  <w:tcW w:w="2648" w:type="pct"/>
                  <w:noWrap w:val="0"/>
                  <w:vAlign w:val="center"/>
                </w:tcPr>
                <w:p w14:paraId="26475038">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1、依托延津县长青生物质热电厂将辖区内秸秆及枯枝烂叶用于生物质发电，将废弃资源最大化利用。</w:t>
                  </w:r>
                </w:p>
                <w:p w14:paraId="48A8043A">
                  <w:pPr>
                    <w:keepNext w:val="0"/>
                    <w:keepLines w:val="0"/>
                    <w:widowControl/>
                    <w:suppressLineNumbers w:val="0"/>
                    <w:jc w:val="left"/>
                    <w:rPr>
                      <w:rFonts w:hint="eastAsia" w:hAnsi="宋体" w:cs="Times New Roman"/>
                      <w:color w:val="auto"/>
                      <w:szCs w:val="21"/>
                      <w:lang w:val="en-US" w:eastAsia="zh-CN"/>
                    </w:rPr>
                  </w:pPr>
                  <w:r>
                    <w:rPr>
                      <w:rFonts w:hint="eastAsia" w:hAnsi="宋体" w:cs="Times New Roman"/>
                      <w:color w:val="auto"/>
                      <w:szCs w:val="21"/>
                      <w:lang w:val="en-US" w:eastAsia="zh-CN"/>
                    </w:rPr>
                    <w:t>2、加快村镇污水管网系统建设。</w:t>
                  </w:r>
                </w:p>
              </w:tc>
              <w:tc>
                <w:tcPr>
                  <w:tcW w:w="1113" w:type="pct"/>
                  <w:noWrap w:val="0"/>
                  <w:vAlign w:val="center"/>
                </w:tcPr>
                <w:p w14:paraId="29C9F1EF">
                  <w:pPr>
                    <w:keepNext w:val="0"/>
                    <w:keepLines w:val="0"/>
                    <w:widowControl/>
                    <w:suppressLineNumbers w:val="0"/>
                    <w:jc w:val="left"/>
                    <w:rPr>
                      <w:rFonts w:hint="eastAsia" w:ascii="Times New Roman" w:hAnsi="宋体" w:eastAsia="宋体" w:cs="Times New Roman"/>
                      <w:color w:val="auto"/>
                      <w:kern w:val="2"/>
                      <w:sz w:val="21"/>
                      <w:szCs w:val="21"/>
                      <w:lang w:val="en-US" w:eastAsia="zh-CN" w:bidi="ar-SA"/>
                    </w:rPr>
                  </w:pPr>
                  <w:r>
                    <w:rPr>
                      <w:rFonts w:hint="eastAsia" w:hAnsi="宋体" w:cs="Times New Roman"/>
                      <w:color w:val="auto"/>
                      <w:sz w:val="21"/>
                      <w:szCs w:val="21"/>
                      <w:lang w:val="en-US" w:eastAsia="zh-CN"/>
                    </w:rPr>
                    <w:t>1.</w:t>
                  </w:r>
                  <w:r>
                    <w:rPr>
                      <w:rFonts w:hint="eastAsia" w:ascii="Times New Roman" w:hAnsi="宋体" w:eastAsia="宋体" w:cs="Times New Roman"/>
                      <w:color w:val="auto"/>
                      <w:kern w:val="2"/>
                      <w:sz w:val="21"/>
                      <w:szCs w:val="21"/>
                      <w:lang w:val="en-US" w:eastAsia="zh-CN" w:bidi="ar-SA"/>
                    </w:rPr>
                    <w:t>本项目不涉及自备锅炉的使用；</w:t>
                  </w:r>
                </w:p>
                <w:p w14:paraId="489860EC">
                  <w:pPr>
                    <w:pStyle w:val="10"/>
                    <w:ind w:left="0" w:leftChars="0" w:firstLine="0" w:firstLineChars="0"/>
                    <w:rPr>
                      <w:rFonts w:hint="default"/>
                      <w:color w:val="auto"/>
                      <w:sz w:val="21"/>
                      <w:szCs w:val="21"/>
                      <w:lang w:val="en-US" w:eastAsia="zh-CN"/>
                    </w:rPr>
                  </w:pPr>
                  <w:r>
                    <w:rPr>
                      <w:rFonts w:hint="eastAsia" w:ascii="Times New Roman" w:hAnsi="宋体" w:eastAsia="宋体" w:cs="Times New Roman"/>
                      <w:color w:val="auto"/>
                      <w:kern w:val="2"/>
                      <w:sz w:val="21"/>
                      <w:szCs w:val="21"/>
                      <w:lang w:val="en-US" w:eastAsia="zh-CN" w:bidi="ar-SA"/>
                    </w:rPr>
                    <w:t>2.本项目不涉及</w:t>
                  </w:r>
                  <w:r>
                    <w:rPr>
                      <w:rFonts w:hint="eastAsia" w:hAnsi="宋体"/>
                      <w:color w:val="auto"/>
                      <w:sz w:val="21"/>
                      <w:szCs w:val="21"/>
                      <w:lang w:val="en-US" w:eastAsia="zh-CN"/>
                    </w:rPr>
                    <w:t>。</w:t>
                  </w:r>
                </w:p>
              </w:tc>
              <w:tc>
                <w:tcPr>
                  <w:tcW w:w="330" w:type="pct"/>
                  <w:noWrap w:val="0"/>
                  <w:vAlign w:val="center"/>
                </w:tcPr>
                <w:p w14:paraId="34DC8CA6">
                  <w:pPr>
                    <w:adjustRightInd w:val="0"/>
                    <w:snapToGrid w:val="0"/>
                    <w:jc w:val="center"/>
                    <w:textAlignment w:val="baseline"/>
                    <w:rPr>
                      <w:rFonts w:hAnsi="宋体"/>
                      <w:color w:val="auto"/>
                      <w:szCs w:val="21"/>
                    </w:rPr>
                  </w:pPr>
                  <w:r>
                    <w:rPr>
                      <w:rFonts w:hAnsi="宋体"/>
                      <w:color w:val="auto"/>
                      <w:szCs w:val="21"/>
                    </w:rPr>
                    <w:t>符合</w:t>
                  </w:r>
                </w:p>
              </w:tc>
            </w:tr>
          </w:tbl>
          <w:p w14:paraId="06ADB5C0">
            <w:pPr>
              <w:keepNext w:val="0"/>
              <w:keepLines w:val="0"/>
              <w:pageBreakBefore w:val="0"/>
              <w:widowControl w:val="0"/>
              <w:kinsoku/>
              <w:wordWrap/>
              <w:overflowPunct/>
              <w:topLinePunct w:val="0"/>
              <w:autoSpaceDE/>
              <w:autoSpaceDN/>
              <w:bidi w:val="0"/>
              <w:spacing w:before="157" w:beforeLines="50" w:line="360" w:lineRule="auto"/>
              <w:ind w:firstLine="480" w:firstLineChars="200"/>
              <w:textAlignment w:val="baseline"/>
              <w:rPr>
                <w:rFonts w:hint="eastAsia"/>
                <w:bCs/>
                <w:color w:val="auto"/>
                <w:sz w:val="24"/>
              </w:rPr>
            </w:pPr>
            <w:r>
              <w:rPr>
                <w:rFonts w:hint="eastAsia"/>
                <w:bCs/>
                <w:color w:val="auto"/>
                <w:sz w:val="24"/>
              </w:rPr>
              <w:t>综上，本项目符合河南省生态环境准入清单的相关要求，符合</w:t>
            </w:r>
            <w:r>
              <w:rPr>
                <w:rFonts w:hint="eastAsia"/>
                <w:bCs/>
                <w:color w:val="auto"/>
                <w:sz w:val="24"/>
                <w:lang w:val="en-US" w:eastAsia="zh-CN"/>
              </w:rPr>
              <w:t>新乡市</w:t>
            </w:r>
            <w:r>
              <w:rPr>
                <w:rFonts w:hint="eastAsia"/>
                <w:bCs/>
                <w:color w:val="auto"/>
                <w:sz w:val="24"/>
              </w:rPr>
              <w:t>“</w:t>
            </w:r>
            <w:r>
              <w:rPr>
                <w:rFonts w:hint="eastAsia"/>
                <w:bCs/>
                <w:color w:val="auto"/>
                <w:sz w:val="24"/>
                <w:lang w:val="en-US" w:eastAsia="zh-CN"/>
              </w:rPr>
              <w:t>生态环境准入</w:t>
            </w:r>
            <w:r>
              <w:rPr>
                <w:rFonts w:hint="eastAsia"/>
                <w:bCs/>
                <w:color w:val="auto"/>
                <w:sz w:val="24"/>
              </w:rPr>
              <w:t>”的管理要求。</w:t>
            </w:r>
          </w:p>
          <w:p w14:paraId="6A7A708F">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baseline"/>
              <w:rPr>
                <w:rFonts w:hint="eastAsia"/>
                <w:b/>
                <w:color w:val="auto"/>
                <w:sz w:val="24"/>
              </w:rPr>
            </w:pPr>
            <w:r>
              <w:rPr>
                <w:rFonts w:hint="eastAsia"/>
                <w:b/>
                <w:color w:val="auto"/>
                <w:sz w:val="24"/>
              </w:rPr>
              <w:t>2、本项目与分类管理名录对照分析</w:t>
            </w:r>
          </w:p>
          <w:p w14:paraId="6C717F8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baseline"/>
              <w:rPr>
                <w:rFonts w:hint="eastAsia"/>
                <w:color w:val="auto"/>
                <w:sz w:val="24"/>
                <w:highlight w:val="none"/>
              </w:rPr>
            </w:pPr>
            <w:r>
              <w:rPr>
                <w:color w:val="auto"/>
                <w:sz w:val="24"/>
                <w:highlight w:val="none"/>
              </w:rPr>
              <w:t>经查阅《建设项目环境影响评价分类管理名录》（</w:t>
            </w:r>
            <w:r>
              <w:rPr>
                <w:rFonts w:hint="eastAsia"/>
                <w:color w:val="auto"/>
                <w:sz w:val="24"/>
                <w:highlight w:val="none"/>
              </w:rPr>
              <w:t>2021年版</w:t>
            </w:r>
            <w:r>
              <w:rPr>
                <w:color w:val="auto"/>
                <w:sz w:val="24"/>
                <w:highlight w:val="none"/>
              </w:rPr>
              <w:t>），</w:t>
            </w:r>
            <w:r>
              <w:rPr>
                <w:rFonts w:hint="eastAsia"/>
                <w:color w:val="auto"/>
                <w:sz w:val="24"/>
                <w:highlight w:val="none"/>
              </w:rPr>
              <w:t>本项目属于</w:t>
            </w:r>
            <w:r>
              <w:rPr>
                <w:rFonts w:hint="eastAsia"/>
                <w:color w:val="auto"/>
                <w:sz w:val="24"/>
                <w:highlight w:val="none"/>
                <w:lang w:val="en-US" w:eastAsia="zh-CN"/>
              </w:rPr>
              <w:t>三十五条电气机械和器材制造业38</w:t>
            </w:r>
            <w:r>
              <w:rPr>
                <w:rFonts w:hint="eastAsia"/>
                <w:color w:val="auto"/>
                <w:sz w:val="24"/>
                <w:highlight w:val="none"/>
              </w:rPr>
              <w:t>中第</w:t>
            </w:r>
            <w:r>
              <w:rPr>
                <w:rFonts w:hint="eastAsia"/>
                <w:color w:val="auto"/>
                <w:sz w:val="24"/>
                <w:highlight w:val="none"/>
                <w:lang w:val="en-US" w:eastAsia="zh-CN"/>
              </w:rPr>
              <w:t>77</w:t>
            </w:r>
            <w:r>
              <w:rPr>
                <w:rFonts w:hint="eastAsia"/>
                <w:color w:val="auto"/>
                <w:sz w:val="24"/>
                <w:highlight w:val="none"/>
              </w:rPr>
              <w:t>电池制造384</w:t>
            </w:r>
            <w:r>
              <w:rPr>
                <w:rFonts w:hint="eastAsia"/>
                <w:color w:val="auto"/>
                <w:sz w:val="24"/>
                <w:highlight w:val="none"/>
                <w:lang w:eastAsia="zh-CN"/>
              </w:rPr>
              <w:t>，</w:t>
            </w:r>
            <w:r>
              <w:rPr>
                <w:rFonts w:hint="eastAsia" w:ascii="Times New Roman" w:hAnsi="Times New Roman" w:cs="Times New Roman"/>
                <w:color w:val="auto"/>
                <w:sz w:val="24"/>
                <w:highlight w:val="none"/>
                <w:lang w:val="en-US" w:eastAsia="zh-CN"/>
              </w:rPr>
              <w:t>其中铅蓄电池制造；太阳能电池片生产；有电镀工艺的；年用溶剂型涂料(含稀释剂)10吨及以上的应按照要求编制环境影响评价报告书。</w:t>
            </w:r>
            <w:r>
              <w:rPr>
                <w:rFonts w:hint="eastAsia"/>
                <w:color w:val="auto"/>
                <w:sz w:val="24"/>
                <w:highlight w:val="none"/>
                <w:lang w:val="en-US" w:eastAsia="zh-CN"/>
              </w:rPr>
              <w:t>其他（仅分割、焊接、组装的除外；年用非溶剂型低VOCs含量涂料10吨以下的除外），按照要求</w:t>
            </w:r>
            <w:r>
              <w:rPr>
                <w:rFonts w:hint="eastAsia"/>
                <w:color w:val="auto"/>
                <w:sz w:val="24"/>
                <w:highlight w:val="none"/>
              </w:rPr>
              <w:t>编制</w:t>
            </w:r>
            <w:r>
              <w:rPr>
                <w:rFonts w:hint="eastAsia"/>
                <w:color w:val="auto"/>
                <w:sz w:val="24"/>
                <w:highlight w:val="none"/>
                <w:lang w:val="en-US" w:eastAsia="zh-CN"/>
              </w:rPr>
              <w:t>环境影响评价</w:t>
            </w:r>
            <w:r>
              <w:rPr>
                <w:color w:val="auto"/>
                <w:sz w:val="24"/>
                <w:highlight w:val="none"/>
              </w:rPr>
              <w:t>报告表。</w:t>
            </w:r>
            <w:r>
              <w:rPr>
                <w:rFonts w:hint="eastAsia"/>
                <w:color w:val="auto"/>
                <w:sz w:val="24"/>
                <w:highlight w:val="none"/>
                <w:lang w:val="en-US" w:eastAsia="zh-CN"/>
              </w:rPr>
              <w:t>本项目属于镍氢电池制造，同时不涉及溶剂型涂料使用，应按照要求</w:t>
            </w:r>
            <w:r>
              <w:rPr>
                <w:rFonts w:hint="eastAsia"/>
                <w:color w:val="auto"/>
                <w:sz w:val="24"/>
                <w:highlight w:val="none"/>
              </w:rPr>
              <w:t>编制</w:t>
            </w:r>
            <w:r>
              <w:rPr>
                <w:color w:val="auto"/>
                <w:sz w:val="24"/>
                <w:highlight w:val="none"/>
              </w:rPr>
              <w:t>环境影响报告表</w:t>
            </w:r>
            <w:r>
              <w:rPr>
                <w:rFonts w:hint="eastAsia"/>
                <w:color w:val="auto"/>
                <w:sz w:val="24"/>
                <w:highlight w:val="none"/>
              </w:rPr>
              <w:t>。</w:t>
            </w:r>
          </w:p>
          <w:p w14:paraId="271F9ACE">
            <w:pPr>
              <w:keepNext w:val="0"/>
              <w:keepLines w:val="0"/>
              <w:pageBreakBefore w:val="0"/>
              <w:widowControl w:val="0"/>
              <w:kinsoku/>
              <w:wordWrap/>
              <w:overflowPunct/>
              <w:topLinePunct w:val="0"/>
              <w:autoSpaceDE/>
              <w:autoSpaceDN/>
              <w:bidi w:val="0"/>
              <w:spacing w:before="157" w:beforeLines="50" w:line="360" w:lineRule="auto"/>
              <w:ind w:firstLine="482" w:firstLineChars="200"/>
              <w:rPr>
                <w:rFonts w:hint="eastAsia"/>
                <w:b/>
                <w:bCs/>
                <w:color w:val="auto"/>
                <w:sz w:val="24"/>
                <w:highlight w:val="none"/>
                <w:lang w:val="en-US" w:eastAsia="zh-CN"/>
              </w:rPr>
            </w:pPr>
            <w:r>
              <w:rPr>
                <w:rFonts w:hint="eastAsia"/>
                <w:b/>
                <w:bCs/>
                <w:color w:val="auto"/>
                <w:sz w:val="24"/>
                <w:highlight w:val="none"/>
                <w:lang w:val="en-US" w:eastAsia="zh-CN"/>
              </w:rPr>
              <w:t>3、项目选址符合性分析</w:t>
            </w:r>
          </w:p>
          <w:p w14:paraId="4FAC4CB6">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baseline"/>
              <w:rPr>
                <w:rFonts w:hint="eastAsia"/>
                <w:color w:val="auto"/>
                <w:sz w:val="24"/>
                <w:highlight w:val="none"/>
                <w:lang w:val="en-US" w:eastAsia="zh-CN"/>
              </w:rPr>
            </w:pPr>
            <w:r>
              <w:rPr>
                <w:rFonts w:hint="eastAsia"/>
                <w:color w:val="auto"/>
                <w:sz w:val="24"/>
                <w:highlight w:val="none"/>
                <w:lang w:val="en-US" w:eastAsia="zh-CN"/>
              </w:rPr>
              <w:t>本项目选址位于河南省新乡市延津县石婆固乡西秦庄村012号，经对比《石婆固乡土地利用总体规划图》，本项目占地属于建设用地，符合总体规划要求。详见附图2。</w:t>
            </w:r>
          </w:p>
          <w:p w14:paraId="117248BA">
            <w:pPr>
              <w:keepNext w:val="0"/>
              <w:keepLines w:val="0"/>
              <w:pageBreakBefore w:val="0"/>
              <w:widowControl w:val="0"/>
              <w:kinsoku/>
              <w:wordWrap/>
              <w:overflowPunct/>
              <w:topLinePunct w:val="0"/>
              <w:autoSpaceDE/>
              <w:autoSpaceDN/>
              <w:bidi w:val="0"/>
              <w:spacing w:before="157" w:beforeLines="50" w:line="360" w:lineRule="auto"/>
              <w:ind w:firstLine="482" w:firstLineChars="200"/>
              <w:rPr>
                <w:rFonts w:ascii="宋体" w:hAnsi="宋体"/>
                <w:b/>
                <w:bCs/>
                <w:color w:val="auto"/>
                <w:sz w:val="24"/>
                <w:highlight w:val="none"/>
              </w:rPr>
            </w:pPr>
            <w:r>
              <w:rPr>
                <w:rFonts w:hint="eastAsia"/>
                <w:b/>
                <w:bCs/>
                <w:color w:val="auto"/>
                <w:sz w:val="24"/>
                <w:highlight w:val="none"/>
                <w:lang w:val="en-US" w:eastAsia="zh-CN"/>
              </w:rPr>
              <w:t>4</w:t>
            </w:r>
            <w:r>
              <w:rPr>
                <w:rFonts w:hint="eastAsia" w:ascii="宋体" w:hAnsi="宋体"/>
                <w:b/>
                <w:bCs/>
                <w:color w:val="auto"/>
                <w:sz w:val="24"/>
                <w:highlight w:val="none"/>
              </w:rPr>
              <w:t>、项目建设与产业政策及备案相符性分析</w:t>
            </w:r>
          </w:p>
          <w:p w14:paraId="289E8D46">
            <w:pPr>
              <w:keepNext w:val="0"/>
              <w:keepLines w:val="0"/>
              <w:pageBreakBefore w:val="0"/>
              <w:widowControl w:val="0"/>
              <w:kinsoku/>
              <w:wordWrap/>
              <w:overflowPunct/>
              <w:topLinePunct w:val="0"/>
              <w:autoSpaceDE/>
              <w:autoSpaceDN/>
              <w:bidi w:val="0"/>
              <w:spacing w:before="157" w:beforeLines="50" w:line="360" w:lineRule="auto"/>
              <w:ind w:firstLine="480" w:firstLineChars="200"/>
              <w:jc w:val="left"/>
              <w:rPr>
                <w:rFonts w:hint="eastAsia" w:ascii="宋体" w:hAnsi="宋体"/>
                <w:color w:val="auto"/>
                <w:sz w:val="24"/>
              </w:rPr>
            </w:pPr>
            <w:r>
              <w:rPr>
                <w:rFonts w:hint="eastAsia"/>
                <w:color w:val="auto"/>
                <w:sz w:val="24"/>
              </w:rPr>
              <w:t>本项目</w:t>
            </w:r>
            <w:r>
              <w:rPr>
                <w:rFonts w:hint="eastAsia"/>
                <w:color w:val="auto"/>
                <w:sz w:val="24"/>
                <w:lang w:val="en-US" w:eastAsia="zh-CN"/>
              </w:rPr>
              <w:t>已在延津县发展和改革委员会备案</w:t>
            </w:r>
            <w:r>
              <w:rPr>
                <w:rFonts w:hint="eastAsia" w:hAnsi="宋体"/>
                <w:color w:val="auto"/>
                <w:sz w:val="24"/>
              </w:rPr>
              <w:t>，</w:t>
            </w:r>
            <w:r>
              <w:rPr>
                <w:rFonts w:hAnsi="宋体"/>
                <w:color w:val="auto"/>
                <w:sz w:val="24"/>
              </w:rPr>
              <w:t>项目代码</w:t>
            </w:r>
            <w:r>
              <w:rPr>
                <w:rFonts w:hint="eastAsia" w:hAnsi="宋体"/>
                <w:color w:val="auto"/>
                <w:sz w:val="24"/>
                <w:highlight w:val="none"/>
                <w:lang w:val="en-US" w:eastAsia="zh-CN"/>
              </w:rPr>
              <w:t>2604-410726-04-01-100165</w:t>
            </w:r>
            <w:r>
              <w:rPr>
                <w:rFonts w:hAnsi="宋体"/>
                <w:color w:val="auto"/>
                <w:sz w:val="24"/>
              </w:rPr>
              <w:t>。经查阅《产业结</w:t>
            </w:r>
            <w:r>
              <w:rPr>
                <w:color w:val="auto"/>
                <w:sz w:val="24"/>
              </w:rPr>
              <w:t>构调整指导目录》</w:t>
            </w:r>
            <w:r>
              <w:rPr>
                <w:rFonts w:hint="eastAsia"/>
                <w:color w:val="auto"/>
                <w:sz w:val="24"/>
              </w:rPr>
              <w:t>（</w:t>
            </w:r>
            <w:r>
              <w:rPr>
                <w:rFonts w:hint="eastAsia"/>
                <w:color w:val="auto"/>
                <w:sz w:val="24"/>
                <w:lang w:val="en-US" w:eastAsia="zh-CN"/>
              </w:rPr>
              <w:t>2024</w:t>
            </w:r>
            <w:r>
              <w:rPr>
                <w:rFonts w:hint="eastAsia"/>
                <w:color w:val="auto"/>
                <w:sz w:val="24"/>
              </w:rPr>
              <w:t>年</w:t>
            </w:r>
            <w:r>
              <w:rPr>
                <w:color w:val="auto"/>
                <w:sz w:val="24"/>
              </w:rPr>
              <w:t>本</w:t>
            </w:r>
            <w:r>
              <w:rPr>
                <w:rFonts w:hint="eastAsia"/>
                <w:color w:val="auto"/>
                <w:sz w:val="24"/>
              </w:rPr>
              <w:t>）</w:t>
            </w:r>
            <w:r>
              <w:rPr>
                <w:color w:val="auto"/>
                <w:sz w:val="24"/>
              </w:rPr>
              <w:t>，本项目属于</w:t>
            </w:r>
            <w:r>
              <w:rPr>
                <w:rFonts w:hint="eastAsia"/>
                <w:color w:val="auto"/>
                <w:sz w:val="24"/>
              </w:rPr>
              <w:t>允许</w:t>
            </w:r>
            <w:r>
              <w:rPr>
                <w:color w:val="auto"/>
                <w:sz w:val="24"/>
              </w:rPr>
              <w:t>类，符合国家产业政策相关要求。</w:t>
            </w:r>
            <w:r>
              <w:rPr>
                <w:rFonts w:hint="eastAsia"/>
                <w:color w:val="auto"/>
                <w:sz w:val="24"/>
              </w:rPr>
              <w:t>本项目情况与产业政策</w:t>
            </w:r>
            <w:r>
              <w:rPr>
                <w:rFonts w:hint="eastAsia" w:ascii="宋体" w:hAnsi="宋体"/>
                <w:color w:val="auto"/>
                <w:sz w:val="24"/>
              </w:rPr>
              <w:t>一致性分析见下</w:t>
            </w:r>
            <w:r>
              <w:rPr>
                <w:color w:val="auto"/>
                <w:sz w:val="24"/>
              </w:rPr>
              <w:t>表</w:t>
            </w:r>
            <w:r>
              <w:rPr>
                <w:rFonts w:hint="eastAsia" w:ascii="宋体" w:hAnsi="宋体"/>
                <w:color w:val="auto"/>
                <w:sz w:val="24"/>
              </w:rPr>
              <w:t>。</w:t>
            </w:r>
          </w:p>
          <w:p w14:paraId="43282C5E">
            <w:pPr>
              <w:keepNext w:val="0"/>
              <w:keepLines w:val="0"/>
              <w:pageBreakBefore w:val="0"/>
              <w:widowControl w:val="0"/>
              <w:kinsoku/>
              <w:wordWrap/>
              <w:overflowPunct/>
              <w:topLinePunct w:val="0"/>
              <w:autoSpaceDE/>
              <w:autoSpaceDN/>
              <w:bidi w:val="0"/>
              <w:spacing w:before="157" w:beforeLines="50" w:line="360" w:lineRule="auto"/>
              <w:ind w:firstLine="480" w:firstLineChars="200"/>
              <w:jc w:val="center"/>
              <w:textAlignment w:val="baseline"/>
              <w:rPr>
                <w:rFonts w:hint="default" w:ascii="Times New Roman" w:hAnsi="Times New Roman" w:eastAsia="黑体" w:cs="Times New Roman"/>
                <w:bCs/>
                <w:color w:val="auto"/>
                <w:sz w:val="24"/>
                <w:lang w:val="en-US" w:eastAsia="zh-CN"/>
              </w:rPr>
            </w:pPr>
            <w:r>
              <w:rPr>
                <w:rFonts w:hint="default" w:ascii="Times New Roman" w:hAnsi="Times New Roman" w:eastAsia="黑体" w:cs="Times New Roman"/>
                <w:bCs/>
                <w:color w:val="auto"/>
                <w:sz w:val="24"/>
                <w:lang w:val="en-US" w:eastAsia="zh-CN"/>
              </w:rPr>
              <w:t>表</w:t>
            </w:r>
            <w:r>
              <w:rPr>
                <w:rFonts w:hint="eastAsia" w:ascii="Times New Roman" w:hAnsi="Times New Roman" w:eastAsia="黑体" w:cs="Times New Roman"/>
                <w:bCs/>
                <w:color w:val="auto"/>
                <w:sz w:val="24"/>
                <w:lang w:val="en-US" w:eastAsia="zh-CN"/>
              </w:rPr>
              <w:t xml:space="preserve">2 </w:t>
            </w:r>
            <w:r>
              <w:rPr>
                <w:rFonts w:hint="default" w:ascii="Times New Roman" w:hAnsi="Times New Roman" w:eastAsia="黑体" w:cs="Times New Roman"/>
                <w:bCs/>
                <w:color w:val="auto"/>
                <w:sz w:val="24"/>
                <w:lang w:val="en-US" w:eastAsia="zh-CN"/>
              </w:rPr>
              <w:t xml:space="preserve"> </w:t>
            </w:r>
            <w:r>
              <w:rPr>
                <w:rFonts w:hint="eastAsia" w:ascii="Times New Roman" w:hAnsi="Times New Roman" w:eastAsia="黑体" w:cs="Times New Roman"/>
                <w:bCs/>
                <w:color w:val="auto"/>
                <w:sz w:val="24"/>
                <w:lang w:val="en-US" w:eastAsia="zh-CN"/>
              </w:rPr>
              <w:t xml:space="preserve">   </w:t>
            </w:r>
            <w:r>
              <w:rPr>
                <w:rFonts w:hint="default" w:ascii="Times New Roman" w:hAnsi="Times New Roman" w:eastAsia="黑体" w:cs="Times New Roman"/>
                <w:bCs/>
                <w:color w:val="auto"/>
                <w:sz w:val="24"/>
                <w:lang w:val="en-US" w:eastAsia="zh-CN"/>
              </w:rPr>
              <w:t>项目与产业政策一致性分析</w:t>
            </w:r>
          </w:p>
          <w:tbl>
            <w:tblPr>
              <w:tblStyle w:val="17"/>
              <w:tblW w:w="5000" w:type="pct"/>
              <w:jc w:val="center"/>
              <w:tblLayout w:type="fixed"/>
              <w:tblCellMar>
                <w:top w:w="0" w:type="dxa"/>
                <w:left w:w="108" w:type="dxa"/>
                <w:bottom w:w="0" w:type="dxa"/>
                <w:right w:w="108" w:type="dxa"/>
              </w:tblCellMar>
            </w:tblPr>
            <w:tblGrid>
              <w:gridCol w:w="2220"/>
              <w:gridCol w:w="2346"/>
              <w:gridCol w:w="1931"/>
              <w:gridCol w:w="1119"/>
            </w:tblGrid>
            <w:tr w14:paraId="7CF9C92E">
              <w:tblPrEx>
                <w:tblCellMar>
                  <w:top w:w="0" w:type="dxa"/>
                  <w:left w:w="108" w:type="dxa"/>
                  <w:bottom w:w="0" w:type="dxa"/>
                  <w:right w:w="108" w:type="dxa"/>
                </w:tblCellMar>
              </w:tblPrEx>
              <w:trPr>
                <w:trHeight w:val="454" w:hRule="atLeast"/>
                <w:jc w:val="center"/>
              </w:trPr>
              <w:tc>
                <w:tcPr>
                  <w:tcW w:w="2389" w:type="dxa"/>
                  <w:tcBorders>
                    <w:top w:val="single" w:color="auto" w:sz="8" w:space="0"/>
                    <w:bottom w:val="single" w:color="auto" w:sz="8" w:space="0"/>
                    <w:right w:val="single" w:color="auto" w:sz="4" w:space="0"/>
                  </w:tcBorders>
                  <w:noWrap w:val="0"/>
                  <w:vAlign w:val="center"/>
                </w:tcPr>
                <w:p w14:paraId="0B6FD1AF">
                  <w:pPr>
                    <w:adjustRightInd w:val="0"/>
                    <w:snapToGrid w:val="0"/>
                    <w:jc w:val="center"/>
                    <w:rPr>
                      <w:b/>
                      <w:color w:val="auto"/>
                      <w:szCs w:val="21"/>
                    </w:rPr>
                  </w:pPr>
                  <w:r>
                    <w:rPr>
                      <w:rFonts w:hAnsi="宋体"/>
                      <w:b/>
                      <w:color w:val="auto"/>
                      <w:szCs w:val="21"/>
                    </w:rPr>
                    <w:t>类别</w:t>
                  </w:r>
                </w:p>
              </w:tc>
              <w:tc>
                <w:tcPr>
                  <w:tcW w:w="2525" w:type="dxa"/>
                  <w:tcBorders>
                    <w:top w:val="single" w:color="auto" w:sz="8" w:space="0"/>
                    <w:left w:val="nil"/>
                    <w:bottom w:val="single" w:color="auto" w:sz="8" w:space="0"/>
                    <w:right w:val="single" w:color="auto" w:sz="4" w:space="0"/>
                  </w:tcBorders>
                  <w:noWrap w:val="0"/>
                  <w:vAlign w:val="center"/>
                </w:tcPr>
                <w:p w14:paraId="25043B70">
                  <w:pPr>
                    <w:adjustRightInd w:val="0"/>
                    <w:snapToGrid w:val="0"/>
                    <w:jc w:val="center"/>
                    <w:rPr>
                      <w:b/>
                      <w:color w:val="auto"/>
                      <w:szCs w:val="21"/>
                    </w:rPr>
                  </w:pPr>
                  <w:r>
                    <w:rPr>
                      <w:rFonts w:hAnsi="宋体"/>
                      <w:b/>
                      <w:color w:val="auto"/>
                      <w:szCs w:val="21"/>
                    </w:rPr>
                    <w:t>条款内容</w:t>
                  </w:r>
                </w:p>
              </w:tc>
              <w:tc>
                <w:tcPr>
                  <w:tcW w:w="2076" w:type="dxa"/>
                  <w:tcBorders>
                    <w:top w:val="single" w:color="auto" w:sz="8" w:space="0"/>
                    <w:left w:val="nil"/>
                    <w:bottom w:val="single" w:color="auto" w:sz="8" w:space="0"/>
                    <w:right w:val="single" w:color="auto" w:sz="4" w:space="0"/>
                  </w:tcBorders>
                  <w:noWrap w:val="0"/>
                  <w:vAlign w:val="center"/>
                </w:tcPr>
                <w:p w14:paraId="42EF167F">
                  <w:pPr>
                    <w:adjustRightInd w:val="0"/>
                    <w:snapToGrid w:val="0"/>
                    <w:jc w:val="center"/>
                    <w:rPr>
                      <w:b/>
                      <w:color w:val="auto"/>
                      <w:szCs w:val="21"/>
                    </w:rPr>
                  </w:pPr>
                  <w:r>
                    <w:rPr>
                      <w:rFonts w:hAnsi="宋体"/>
                      <w:b/>
                      <w:color w:val="auto"/>
                      <w:szCs w:val="21"/>
                    </w:rPr>
                    <w:t>本项目情况</w:t>
                  </w:r>
                </w:p>
              </w:tc>
              <w:tc>
                <w:tcPr>
                  <w:tcW w:w="1199" w:type="dxa"/>
                  <w:tcBorders>
                    <w:top w:val="single" w:color="auto" w:sz="8" w:space="0"/>
                    <w:left w:val="nil"/>
                    <w:bottom w:val="single" w:color="auto" w:sz="8" w:space="0"/>
                  </w:tcBorders>
                  <w:noWrap w:val="0"/>
                  <w:vAlign w:val="center"/>
                </w:tcPr>
                <w:p w14:paraId="43398733">
                  <w:pPr>
                    <w:adjustRightInd w:val="0"/>
                    <w:snapToGrid w:val="0"/>
                    <w:jc w:val="center"/>
                    <w:rPr>
                      <w:b/>
                      <w:color w:val="auto"/>
                      <w:szCs w:val="21"/>
                    </w:rPr>
                  </w:pPr>
                  <w:r>
                    <w:rPr>
                      <w:rFonts w:hAnsi="宋体"/>
                      <w:b/>
                      <w:color w:val="auto"/>
                      <w:szCs w:val="21"/>
                    </w:rPr>
                    <w:t>相符性</w:t>
                  </w:r>
                </w:p>
              </w:tc>
            </w:tr>
            <w:tr w14:paraId="7E80E309">
              <w:tblPrEx>
                <w:tblCellMar>
                  <w:top w:w="0" w:type="dxa"/>
                  <w:left w:w="108" w:type="dxa"/>
                  <w:bottom w:w="0" w:type="dxa"/>
                  <w:right w:w="108" w:type="dxa"/>
                </w:tblCellMar>
              </w:tblPrEx>
              <w:trPr>
                <w:trHeight w:val="454" w:hRule="atLeast"/>
                <w:jc w:val="center"/>
              </w:trPr>
              <w:tc>
                <w:tcPr>
                  <w:tcW w:w="2389" w:type="dxa"/>
                  <w:tcBorders>
                    <w:top w:val="single" w:color="auto" w:sz="8" w:space="0"/>
                    <w:right w:val="single" w:color="auto" w:sz="4" w:space="0"/>
                  </w:tcBorders>
                  <w:noWrap w:val="0"/>
                  <w:vAlign w:val="center"/>
                </w:tcPr>
                <w:p w14:paraId="31509027">
                  <w:pPr>
                    <w:adjustRightInd w:val="0"/>
                    <w:snapToGrid w:val="0"/>
                    <w:jc w:val="center"/>
                    <w:rPr>
                      <w:color w:val="auto"/>
                      <w:szCs w:val="21"/>
                    </w:rPr>
                  </w:pPr>
                  <w:r>
                    <w:rPr>
                      <w:rFonts w:hAnsi="宋体"/>
                      <w:color w:val="auto"/>
                      <w:szCs w:val="21"/>
                    </w:rPr>
                    <w:t>鼓励类</w:t>
                  </w:r>
                </w:p>
              </w:tc>
              <w:tc>
                <w:tcPr>
                  <w:tcW w:w="2525" w:type="dxa"/>
                  <w:tcBorders>
                    <w:top w:val="single" w:color="auto" w:sz="8" w:space="0"/>
                    <w:left w:val="nil"/>
                    <w:bottom w:val="single" w:color="auto" w:sz="4" w:space="0"/>
                    <w:right w:val="single" w:color="auto" w:sz="4" w:space="0"/>
                  </w:tcBorders>
                  <w:noWrap w:val="0"/>
                  <w:vAlign w:val="center"/>
                </w:tcPr>
                <w:p w14:paraId="60CAEDF7">
                  <w:pPr>
                    <w:adjustRightInd w:val="0"/>
                    <w:snapToGrid w:val="0"/>
                    <w:jc w:val="center"/>
                    <w:rPr>
                      <w:rFonts w:hint="default" w:eastAsia="宋体"/>
                      <w:color w:val="auto"/>
                      <w:lang w:val="en-US" w:eastAsia="zh-CN"/>
                    </w:rPr>
                  </w:pPr>
                  <w:r>
                    <w:rPr>
                      <w:rFonts w:hint="eastAsia"/>
                      <w:color w:val="auto"/>
                      <w:lang w:val="en-US" w:eastAsia="zh-CN"/>
                    </w:rPr>
                    <w:t>查无相关对应条款</w:t>
                  </w:r>
                </w:p>
              </w:tc>
              <w:tc>
                <w:tcPr>
                  <w:tcW w:w="2076" w:type="dxa"/>
                  <w:tcBorders>
                    <w:top w:val="single" w:color="auto" w:sz="8" w:space="0"/>
                    <w:left w:val="nil"/>
                    <w:bottom w:val="single" w:color="auto" w:sz="4" w:space="0"/>
                    <w:right w:val="single" w:color="auto" w:sz="4" w:space="0"/>
                  </w:tcBorders>
                  <w:noWrap w:val="0"/>
                  <w:vAlign w:val="center"/>
                </w:tcPr>
                <w:p w14:paraId="26DF2E6F">
                  <w:pPr>
                    <w:adjustRightInd w:val="0"/>
                    <w:snapToGrid w:val="0"/>
                    <w:jc w:val="center"/>
                    <w:rPr>
                      <w:color w:val="auto"/>
                    </w:rPr>
                  </w:pPr>
                  <w:r>
                    <w:rPr>
                      <w:color w:val="auto"/>
                      <w:szCs w:val="21"/>
                    </w:rPr>
                    <w:t>/</w:t>
                  </w:r>
                </w:p>
              </w:tc>
              <w:tc>
                <w:tcPr>
                  <w:tcW w:w="1199" w:type="dxa"/>
                  <w:tcBorders>
                    <w:top w:val="single" w:color="auto" w:sz="8" w:space="0"/>
                    <w:left w:val="nil"/>
                    <w:bottom w:val="single" w:color="auto" w:sz="4" w:space="0"/>
                  </w:tcBorders>
                  <w:noWrap w:val="0"/>
                  <w:vAlign w:val="center"/>
                </w:tcPr>
                <w:p w14:paraId="0024EB95">
                  <w:pPr>
                    <w:adjustRightInd w:val="0"/>
                    <w:snapToGrid w:val="0"/>
                    <w:jc w:val="center"/>
                    <w:rPr>
                      <w:color w:val="auto"/>
                    </w:rPr>
                  </w:pPr>
                  <w:r>
                    <w:rPr>
                      <w:color w:val="auto"/>
                      <w:szCs w:val="21"/>
                    </w:rPr>
                    <w:t>不属于</w:t>
                  </w:r>
                </w:p>
              </w:tc>
            </w:tr>
            <w:tr w14:paraId="4B4AD089">
              <w:tblPrEx>
                <w:tblCellMar>
                  <w:top w:w="0" w:type="dxa"/>
                  <w:left w:w="108" w:type="dxa"/>
                  <w:bottom w:w="0" w:type="dxa"/>
                  <w:right w:w="108" w:type="dxa"/>
                </w:tblCellMar>
              </w:tblPrEx>
              <w:trPr>
                <w:trHeight w:val="454" w:hRule="atLeast"/>
                <w:jc w:val="center"/>
              </w:trPr>
              <w:tc>
                <w:tcPr>
                  <w:tcW w:w="2389" w:type="dxa"/>
                  <w:tcBorders>
                    <w:top w:val="single" w:color="auto" w:sz="4" w:space="0"/>
                    <w:bottom w:val="single" w:color="auto" w:sz="4" w:space="0"/>
                    <w:right w:val="single" w:color="auto" w:sz="4" w:space="0"/>
                  </w:tcBorders>
                  <w:noWrap w:val="0"/>
                  <w:vAlign w:val="center"/>
                </w:tcPr>
                <w:p w14:paraId="07EE3745">
                  <w:pPr>
                    <w:adjustRightInd w:val="0"/>
                    <w:snapToGrid w:val="0"/>
                    <w:jc w:val="center"/>
                    <w:rPr>
                      <w:color w:val="auto"/>
                      <w:szCs w:val="21"/>
                    </w:rPr>
                  </w:pPr>
                  <w:r>
                    <w:rPr>
                      <w:rFonts w:hAnsi="宋体"/>
                      <w:color w:val="auto"/>
                      <w:szCs w:val="21"/>
                    </w:rPr>
                    <w:t>限制类</w:t>
                  </w:r>
                </w:p>
              </w:tc>
              <w:tc>
                <w:tcPr>
                  <w:tcW w:w="2525" w:type="dxa"/>
                  <w:tcBorders>
                    <w:top w:val="single" w:color="auto" w:sz="4" w:space="0"/>
                    <w:left w:val="nil"/>
                    <w:bottom w:val="single" w:color="auto" w:sz="4" w:space="0"/>
                    <w:right w:val="single" w:color="auto" w:sz="4" w:space="0"/>
                  </w:tcBorders>
                  <w:noWrap w:val="0"/>
                  <w:vAlign w:val="center"/>
                </w:tcPr>
                <w:p w14:paraId="6DB51C91">
                  <w:pPr>
                    <w:adjustRightInd w:val="0"/>
                    <w:snapToGrid w:val="0"/>
                    <w:jc w:val="center"/>
                    <w:rPr>
                      <w:color w:val="auto"/>
                    </w:rPr>
                  </w:pPr>
                  <w:r>
                    <w:rPr>
                      <w:rFonts w:hint="eastAsia"/>
                      <w:color w:val="auto"/>
                      <w:lang w:val="en-US" w:eastAsia="zh-CN"/>
                    </w:rPr>
                    <w:t>查无相关对应条款</w:t>
                  </w:r>
                </w:p>
              </w:tc>
              <w:tc>
                <w:tcPr>
                  <w:tcW w:w="2076" w:type="dxa"/>
                  <w:tcBorders>
                    <w:top w:val="single" w:color="auto" w:sz="4" w:space="0"/>
                    <w:left w:val="nil"/>
                    <w:bottom w:val="single" w:color="auto" w:sz="4" w:space="0"/>
                    <w:right w:val="single" w:color="auto" w:sz="4" w:space="0"/>
                  </w:tcBorders>
                  <w:noWrap w:val="0"/>
                  <w:vAlign w:val="center"/>
                </w:tcPr>
                <w:p w14:paraId="234853CA">
                  <w:pPr>
                    <w:adjustRightInd w:val="0"/>
                    <w:snapToGrid w:val="0"/>
                    <w:jc w:val="center"/>
                    <w:rPr>
                      <w:color w:val="auto"/>
                    </w:rPr>
                  </w:pPr>
                  <w:r>
                    <w:rPr>
                      <w:color w:val="auto"/>
                      <w:szCs w:val="21"/>
                    </w:rPr>
                    <w:t>/</w:t>
                  </w:r>
                </w:p>
              </w:tc>
              <w:tc>
                <w:tcPr>
                  <w:tcW w:w="1199" w:type="dxa"/>
                  <w:tcBorders>
                    <w:top w:val="single" w:color="auto" w:sz="4" w:space="0"/>
                    <w:left w:val="nil"/>
                    <w:bottom w:val="single" w:color="auto" w:sz="4" w:space="0"/>
                  </w:tcBorders>
                  <w:noWrap w:val="0"/>
                  <w:vAlign w:val="center"/>
                </w:tcPr>
                <w:p w14:paraId="32A2A1AB">
                  <w:pPr>
                    <w:adjustRightInd w:val="0"/>
                    <w:snapToGrid w:val="0"/>
                    <w:jc w:val="center"/>
                    <w:rPr>
                      <w:color w:val="auto"/>
                    </w:rPr>
                  </w:pPr>
                  <w:r>
                    <w:rPr>
                      <w:color w:val="auto"/>
                      <w:szCs w:val="21"/>
                    </w:rPr>
                    <w:t>不属于</w:t>
                  </w:r>
                </w:p>
              </w:tc>
            </w:tr>
            <w:tr w14:paraId="6CC873C6">
              <w:tblPrEx>
                <w:tblCellMar>
                  <w:top w:w="0" w:type="dxa"/>
                  <w:left w:w="108" w:type="dxa"/>
                  <w:bottom w:w="0" w:type="dxa"/>
                  <w:right w:w="108" w:type="dxa"/>
                </w:tblCellMar>
              </w:tblPrEx>
              <w:trPr>
                <w:trHeight w:val="454" w:hRule="atLeast"/>
                <w:jc w:val="center"/>
              </w:trPr>
              <w:tc>
                <w:tcPr>
                  <w:tcW w:w="2389" w:type="dxa"/>
                  <w:tcBorders>
                    <w:top w:val="single" w:color="auto" w:sz="4" w:space="0"/>
                    <w:bottom w:val="single" w:color="auto" w:sz="4" w:space="0"/>
                    <w:right w:val="single" w:color="auto" w:sz="4" w:space="0"/>
                  </w:tcBorders>
                  <w:noWrap w:val="0"/>
                  <w:vAlign w:val="center"/>
                </w:tcPr>
                <w:p w14:paraId="6295275F">
                  <w:pPr>
                    <w:adjustRightInd w:val="0"/>
                    <w:snapToGrid w:val="0"/>
                    <w:jc w:val="center"/>
                    <w:rPr>
                      <w:color w:val="auto"/>
                      <w:szCs w:val="21"/>
                    </w:rPr>
                  </w:pPr>
                  <w:r>
                    <w:rPr>
                      <w:rFonts w:hAnsi="宋体"/>
                      <w:color w:val="auto"/>
                      <w:szCs w:val="21"/>
                    </w:rPr>
                    <w:t>淘汰类</w:t>
                  </w:r>
                </w:p>
                <w:p w14:paraId="7155B912">
                  <w:pPr>
                    <w:adjustRightInd w:val="0"/>
                    <w:snapToGrid w:val="0"/>
                    <w:jc w:val="center"/>
                    <w:rPr>
                      <w:color w:val="auto"/>
                      <w:szCs w:val="21"/>
                    </w:rPr>
                  </w:pPr>
                  <w:r>
                    <w:rPr>
                      <w:rFonts w:hAnsi="宋体"/>
                      <w:color w:val="auto"/>
                      <w:szCs w:val="21"/>
                    </w:rPr>
                    <w:t>（落后生产工艺装备）</w:t>
                  </w:r>
                </w:p>
              </w:tc>
              <w:tc>
                <w:tcPr>
                  <w:tcW w:w="2525" w:type="dxa"/>
                  <w:tcBorders>
                    <w:top w:val="single" w:color="auto" w:sz="4" w:space="0"/>
                    <w:left w:val="nil"/>
                    <w:bottom w:val="single" w:color="auto" w:sz="4" w:space="0"/>
                    <w:right w:val="single" w:color="auto" w:sz="4" w:space="0"/>
                  </w:tcBorders>
                  <w:noWrap w:val="0"/>
                  <w:vAlign w:val="center"/>
                </w:tcPr>
                <w:p w14:paraId="24A8B750">
                  <w:pPr>
                    <w:adjustRightInd w:val="0"/>
                    <w:snapToGrid w:val="0"/>
                    <w:jc w:val="center"/>
                    <w:rPr>
                      <w:color w:val="auto"/>
                    </w:rPr>
                  </w:pPr>
                  <w:r>
                    <w:rPr>
                      <w:rFonts w:hint="eastAsia"/>
                      <w:color w:val="auto"/>
                      <w:lang w:val="en-US" w:eastAsia="zh-CN"/>
                    </w:rPr>
                    <w:t>查无相关对应条款</w:t>
                  </w:r>
                </w:p>
              </w:tc>
              <w:tc>
                <w:tcPr>
                  <w:tcW w:w="2076" w:type="dxa"/>
                  <w:tcBorders>
                    <w:top w:val="single" w:color="auto" w:sz="4" w:space="0"/>
                    <w:left w:val="nil"/>
                    <w:bottom w:val="single" w:color="auto" w:sz="4" w:space="0"/>
                    <w:right w:val="single" w:color="auto" w:sz="4" w:space="0"/>
                  </w:tcBorders>
                  <w:noWrap w:val="0"/>
                  <w:vAlign w:val="center"/>
                </w:tcPr>
                <w:p w14:paraId="28E6342E">
                  <w:pPr>
                    <w:adjustRightInd w:val="0"/>
                    <w:snapToGrid w:val="0"/>
                    <w:jc w:val="center"/>
                    <w:rPr>
                      <w:color w:val="auto"/>
                    </w:rPr>
                  </w:pPr>
                  <w:r>
                    <w:rPr>
                      <w:color w:val="auto"/>
                      <w:szCs w:val="21"/>
                    </w:rPr>
                    <w:t>/</w:t>
                  </w:r>
                </w:p>
              </w:tc>
              <w:tc>
                <w:tcPr>
                  <w:tcW w:w="1199" w:type="dxa"/>
                  <w:tcBorders>
                    <w:top w:val="single" w:color="auto" w:sz="4" w:space="0"/>
                    <w:left w:val="nil"/>
                    <w:bottom w:val="single" w:color="auto" w:sz="4" w:space="0"/>
                  </w:tcBorders>
                  <w:noWrap w:val="0"/>
                  <w:vAlign w:val="center"/>
                </w:tcPr>
                <w:p w14:paraId="34887E9A">
                  <w:pPr>
                    <w:adjustRightInd w:val="0"/>
                    <w:snapToGrid w:val="0"/>
                    <w:jc w:val="center"/>
                    <w:rPr>
                      <w:color w:val="auto"/>
                    </w:rPr>
                  </w:pPr>
                  <w:r>
                    <w:rPr>
                      <w:color w:val="auto"/>
                      <w:szCs w:val="21"/>
                    </w:rPr>
                    <w:t>不属于</w:t>
                  </w:r>
                </w:p>
              </w:tc>
            </w:tr>
            <w:tr w14:paraId="70F1969D">
              <w:tblPrEx>
                <w:tblCellMar>
                  <w:top w:w="0" w:type="dxa"/>
                  <w:left w:w="108" w:type="dxa"/>
                  <w:bottom w:w="0" w:type="dxa"/>
                  <w:right w:w="108" w:type="dxa"/>
                </w:tblCellMar>
              </w:tblPrEx>
              <w:trPr>
                <w:trHeight w:val="454" w:hRule="atLeast"/>
                <w:jc w:val="center"/>
              </w:trPr>
              <w:tc>
                <w:tcPr>
                  <w:tcW w:w="2389" w:type="dxa"/>
                  <w:tcBorders>
                    <w:top w:val="single" w:color="auto" w:sz="4" w:space="0"/>
                    <w:bottom w:val="single" w:color="auto" w:sz="8" w:space="0"/>
                    <w:right w:val="single" w:color="auto" w:sz="4" w:space="0"/>
                  </w:tcBorders>
                  <w:noWrap w:val="0"/>
                  <w:vAlign w:val="center"/>
                </w:tcPr>
                <w:p w14:paraId="250FB1EC">
                  <w:pPr>
                    <w:adjustRightInd w:val="0"/>
                    <w:snapToGrid w:val="0"/>
                    <w:jc w:val="center"/>
                    <w:rPr>
                      <w:color w:val="auto"/>
                      <w:szCs w:val="21"/>
                    </w:rPr>
                  </w:pPr>
                  <w:r>
                    <w:rPr>
                      <w:rFonts w:hAnsi="宋体"/>
                      <w:color w:val="auto"/>
                      <w:szCs w:val="21"/>
                    </w:rPr>
                    <w:t>淘汰类（落后产品）</w:t>
                  </w:r>
                </w:p>
              </w:tc>
              <w:tc>
                <w:tcPr>
                  <w:tcW w:w="2525" w:type="dxa"/>
                  <w:tcBorders>
                    <w:top w:val="single" w:color="auto" w:sz="4" w:space="0"/>
                    <w:left w:val="nil"/>
                    <w:bottom w:val="single" w:color="auto" w:sz="8" w:space="0"/>
                    <w:right w:val="single" w:color="auto" w:sz="4" w:space="0"/>
                  </w:tcBorders>
                  <w:noWrap w:val="0"/>
                  <w:vAlign w:val="center"/>
                </w:tcPr>
                <w:p w14:paraId="3F2E49B1">
                  <w:pPr>
                    <w:adjustRightInd w:val="0"/>
                    <w:snapToGrid w:val="0"/>
                    <w:jc w:val="center"/>
                    <w:rPr>
                      <w:color w:val="auto"/>
                    </w:rPr>
                  </w:pPr>
                  <w:r>
                    <w:rPr>
                      <w:rFonts w:hint="eastAsia"/>
                      <w:color w:val="auto"/>
                      <w:lang w:val="en-US" w:eastAsia="zh-CN"/>
                    </w:rPr>
                    <w:t>查无相关对应条款</w:t>
                  </w:r>
                </w:p>
              </w:tc>
              <w:tc>
                <w:tcPr>
                  <w:tcW w:w="2076" w:type="dxa"/>
                  <w:tcBorders>
                    <w:top w:val="single" w:color="auto" w:sz="4" w:space="0"/>
                    <w:left w:val="nil"/>
                    <w:bottom w:val="single" w:color="auto" w:sz="8" w:space="0"/>
                    <w:right w:val="single" w:color="auto" w:sz="4" w:space="0"/>
                  </w:tcBorders>
                  <w:noWrap w:val="0"/>
                  <w:vAlign w:val="center"/>
                </w:tcPr>
                <w:p w14:paraId="5BC5F2FB">
                  <w:pPr>
                    <w:adjustRightInd w:val="0"/>
                    <w:snapToGrid w:val="0"/>
                    <w:jc w:val="center"/>
                    <w:rPr>
                      <w:color w:val="auto"/>
                    </w:rPr>
                  </w:pPr>
                  <w:r>
                    <w:rPr>
                      <w:color w:val="auto"/>
                      <w:szCs w:val="21"/>
                    </w:rPr>
                    <w:t>/</w:t>
                  </w:r>
                </w:p>
              </w:tc>
              <w:tc>
                <w:tcPr>
                  <w:tcW w:w="1199" w:type="dxa"/>
                  <w:tcBorders>
                    <w:top w:val="single" w:color="auto" w:sz="4" w:space="0"/>
                    <w:left w:val="nil"/>
                    <w:bottom w:val="single" w:color="auto" w:sz="8" w:space="0"/>
                  </w:tcBorders>
                  <w:noWrap w:val="0"/>
                  <w:vAlign w:val="center"/>
                </w:tcPr>
                <w:p w14:paraId="189F6BDF">
                  <w:pPr>
                    <w:adjustRightInd w:val="0"/>
                    <w:snapToGrid w:val="0"/>
                    <w:jc w:val="center"/>
                    <w:rPr>
                      <w:color w:val="auto"/>
                    </w:rPr>
                  </w:pPr>
                  <w:r>
                    <w:rPr>
                      <w:color w:val="auto"/>
                      <w:szCs w:val="21"/>
                    </w:rPr>
                    <w:t>不属于</w:t>
                  </w:r>
                </w:p>
              </w:tc>
            </w:tr>
          </w:tbl>
          <w:p w14:paraId="248075E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rPr>
                <w:rFonts w:hAnsi="宋体"/>
                <w:color w:val="auto"/>
                <w:sz w:val="24"/>
              </w:rPr>
            </w:pPr>
          </w:p>
          <w:p w14:paraId="7F341CB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rPr>
                <w:rFonts w:hAnsi="宋体"/>
                <w:color w:val="auto"/>
                <w:sz w:val="24"/>
              </w:rPr>
            </w:pPr>
          </w:p>
          <w:p w14:paraId="2C301CB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rPr>
                <w:rFonts w:hAnsi="黑体" w:eastAsia="黑体"/>
                <w:color w:val="auto"/>
                <w:sz w:val="24"/>
              </w:rPr>
            </w:pPr>
            <w:r>
              <w:rPr>
                <w:rFonts w:hAnsi="宋体"/>
                <w:color w:val="auto"/>
                <w:sz w:val="24"/>
              </w:rPr>
              <w:t>本项目与备案一致性分析见</w:t>
            </w:r>
            <w:r>
              <w:rPr>
                <w:rFonts w:hint="eastAsia" w:hAnsi="宋体"/>
                <w:color w:val="auto"/>
                <w:sz w:val="24"/>
              </w:rPr>
              <w:t>下表</w:t>
            </w:r>
            <w:r>
              <w:rPr>
                <w:rFonts w:hAnsi="宋体"/>
                <w:color w:val="auto"/>
                <w:sz w:val="24"/>
              </w:rPr>
              <w:t>。</w:t>
            </w:r>
          </w:p>
          <w:p w14:paraId="0A8F609A">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baseline"/>
              <w:rPr>
                <w:rFonts w:hint="default" w:ascii="Times New Roman" w:hAnsi="Times New Roman" w:eastAsia="黑体" w:cs="Times New Roman"/>
                <w:bCs/>
                <w:color w:val="auto"/>
                <w:sz w:val="24"/>
                <w:highlight w:val="none"/>
                <w:lang w:val="en-US" w:eastAsia="zh-CN"/>
              </w:rPr>
            </w:pPr>
            <w:r>
              <w:rPr>
                <w:rFonts w:hint="default" w:ascii="Times New Roman" w:hAnsi="Times New Roman" w:eastAsia="黑体" w:cs="Times New Roman"/>
                <w:bCs/>
                <w:color w:val="auto"/>
                <w:sz w:val="24"/>
                <w:highlight w:val="none"/>
                <w:lang w:val="en-US" w:eastAsia="zh-CN"/>
              </w:rPr>
              <w:t>表</w:t>
            </w:r>
            <w:r>
              <w:rPr>
                <w:rFonts w:hint="eastAsia" w:ascii="Times New Roman" w:hAnsi="Times New Roman" w:eastAsia="黑体" w:cs="Times New Roman"/>
                <w:bCs/>
                <w:color w:val="auto"/>
                <w:sz w:val="24"/>
                <w:highlight w:val="none"/>
                <w:lang w:val="en-US" w:eastAsia="zh-CN"/>
              </w:rPr>
              <w:t xml:space="preserve">3     </w:t>
            </w:r>
            <w:r>
              <w:rPr>
                <w:rFonts w:hint="default" w:ascii="Times New Roman" w:hAnsi="Times New Roman" w:eastAsia="黑体" w:cs="Times New Roman"/>
                <w:bCs/>
                <w:color w:val="auto"/>
                <w:sz w:val="24"/>
                <w:highlight w:val="none"/>
                <w:lang w:val="en-US" w:eastAsia="zh-CN"/>
              </w:rPr>
              <w:t>本项目与备案一致性分析一览表</w:t>
            </w:r>
          </w:p>
          <w:tbl>
            <w:tblPr>
              <w:tblStyle w:val="17"/>
              <w:tblW w:w="5000" w:type="pct"/>
              <w:jc w:val="center"/>
              <w:tblLayout w:type="fixed"/>
              <w:tblCellMar>
                <w:top w:w="0" w:type="dxa"/>
                <w:left w:w="108" w:type="dxa"/>
                <w:bottom w:w="0" w:type="dxa"/>
                <w:right w:w="108" w:type="dxa"/>
              </w:tblCellMar>
            </w:tblPr>
            <w:tblGrid>
              <w:gridCol w:w="831"/>
              <w:gridCol w:w="3000"/>
              <w:gridCol w:w="2817"/>
              <w:gridCol w:w="968"/>
            </w:tblGrid>
            <w:tr w14:paraId="08378361">
              <w:tblPrEx>
                <w:tblCellMar>
                  <w:top w:w="0" w:type="dxa"/>
                  <w:left w:w="108" w:type="dxa"/>
                  <w:bottom w:w="0" w:type="dxa"/>
                  <w:right w:w="108" w:type="dxa"/>
                </w:tblCellMar>
              </w:tblPrEx>
              <w:trPr>
                <w:trHeight w:val="397" w:hRule="atLeast"/>
                <w:jc w:val="center"/>
              </w:trPr>
              <w:tc>
                <w:tcPr>
                  <w:tcW w:w="831" w:type="dxa"/>
                  <w:tcBorders>
                    <w:top w:val="single" w:color="000000" w:sz="8" w:space="0"/>
                    <w:bottom w:val="single" w:color="000000" w:sz="8" w:space="0"/>
                    <w:right w:val="single" w:color="000000" w:sz="4" w:space="0"/>
                  </w:tcBorders>
                  <w:noWrap w:val="0"/>
                  <w:vAlign w:val="center"/>
                </w:tcPr>
                <w:p w14:paraId="6DD6E6F2">
                  <w:pPr>
                    <w:adjustRightInd w:val="0"/>
                    <w:snapToGrid w:val="0"/>
                    <w:jc w:val="center"/>
                    <w:rPr>
                      <w:b/>
                      <w:color w:val="auto"/>
                      <w:szCs w:val="21"/>
                    </w:rPr>
                  </w:pPr>
                  <w:r>
                    <w:rPr>
                      <w:rFonts w:hAnsi="宋体"/>
                      <w:b/>
                      <w:color w:val="auto"/>
                      <w:szCs w:val="21"/>
                    </w:rPr>
                    <w:t>名称</w:t>
                  </w:r>
                </w:p>
              </w:tc>
              <w:tc>
                <w:tcPr>
                  <w:tcW w:w="3000" w:type="dxa"/>
                  <w:tcBorders>
                    <w:top w:val="single" w:color="000000" w:sz="8" w:space="0"/>
                    <w:left w:val="nil"/>
                    <w:bottom w:val="single" w:color="000000" w:sz="8" w:space="0"/>
                    <w:right w:val="single" w:color="000000" w:sz="4" w:space="0"/>
                  </w:tcBorders>
                  <w:noWrap w:val="0"/>
                  <w:vAlign w:val="center"/>
                </w:tcPr>
                <w:p w14:paraId="6849C10A">
                  <w:pPr>
                    <w:adjustRightInd w:val="0"/>
                    <w:snapToGrid w:val="0"/>
                    <w:jc w:val="center"/>
                    <w:rPr>
                      <w:b/>
                      <w:color w:val="auto"/>
                      <w:szCs w:val="21"/>
                    </w:rPr>
                  </w:pPr>
                  <w:r>
                    <w:rPr>
                      <w:rFonts w:hAnsi="宋体"/>
                      <w:b/>
                      <w:color w:val="auto"/>
                      <w:szCs w:val="21"/>
                    </w:rPr>
                    <w:t>项目备案</w:t>
                  </w:r>
                </w:p>
              </w:tc>
              <w:tc>
                <w:tcPr>
                  <w:tcW w:w="2817" w:type="dxa"/>
                  <w:tcBorders>
                    <w:top w:val="single" w:color="000000" w:sz="8" w:space="0"/>
                    <w:left w:val="nil"/>
                    <w:bottom w:val="single" w:color="000000" w:sz="8" w:space="0"/>
                    <w:right w:val="single" w:color="000000" w:sz="4" w:space="0"/>
                  </w:tcBorders>
                  <w:noWrap w:val="0"/>
                  <w:vAlign w:val="center"/>
                </w:tcPr>
                <w:p w14:paraId="5E085844">
                  <w:pPr>
                    <w:adjustRightInd w:val="0"/>
                    <w:snapToGrid w:val="0"/>
                    <w:jc w:val="center"/>
                    <w:rPr>
                      <w:b/>
                      <w:color w:val="auto"/>
                      <w:szCs w:val="21"/>
                    </w:rPr>
                  </w:pPr>
                  <w:r>
                    <w:rPr>
                      <w:rFonts w:hAnsi="宋体"/>
                      <w:b/>
                      <w:color w:val="auto"/>
                      <w:szCs w:val="21"/>
                    </w:rPr>
                    <w:t>项目情况</w:t>
                  </w:r>
                </w:p>
              </w:tc>
              <w:tc>
                <w:tcPr>
                  <w:tcW w:w="968" w:type="dxa"/>
                  <w:tcBorders>
                    <w:top w:val="single" w:color="000000" w:sz="8" w:space="0"/>
                    <w:left w:val="nil"/>
                    <w:bottom w:val="single" w:color="000000" w:sz="8" w:space="0"/>
                  </w:tcBorders>
                  <w:noWrap w:val="0"/>
                  <w:vAlign w:val="center"/>
                </w:tcPr>
                <w:p w14:paraId="2144E88A">
                  <w:pPr>
                    <w:adjustRightInd w:val="0"/>
                    <w:snapToGrid w:val="0"/>
                    <w:jc w:val="center"/>
                    <w:rPr>
                      <w:b/>
                      <w:color w:val="auto"/>
                      <w:szCs w:val="21"/>
                    </w:rPr>
                  </w:pPr>
                  <w:r>
                    <w:rPr>
                      <w:rFonts w:hAnsi="宋体"/>
                      <w:b/>
                      <w:color w:val="auto"/>
                      <w:szCs w:val="21"/>
                    </w:rPr>
                    <w:t>相符性</w:t>
                  </w:r>
                </w:p>
              </w:tc>
            </w:tr>
            <w:tr w14:paraId="5FA69AEF">
              <w:tblPrEx>
                <w:tblCellMar>
                  <w:top w:w="0" w:type="dxa"/>
                  <w:left w:w="108" w:type="dxa"/>
                  <w:bottom w:w="0" w:type="dxa"/>
                  <w:right w:w="108" w:type="dxa"/>
                </w:tblCellMar>
              </w:tblPrEx>
              <w:trPr>
                <w:trHeight w:val="397" w:hRule="atLeast"/>
                <w:jc w:val="center"/>
              </w:trPr>
              <w:tc>
                <w:tcPr>
                  <w:tcW w:w="831" w:type="dxa"/>
                  <w:tcBorders>
                    <w:top w:val="single" w:color="000000" w:sz="4" w:space="0"/>
                    <w:bottom w:val="single" w:color="000000" w:sz="4" w:space="0"/>
                    <w:right w:val="single" w:color="000000" w:sz="4" w:space="0"/>
                  </w:tcBorders>
                  <w:noWrap w:val="0"/>
                  <w:vAlign w:val="center"/>
                </w:tcPr>
                <w:p w14:paraId="43191B17">
                  <w:pPr>
                    <w:adjustRightInd w:val="0"/>
                    <w:snapToGrid w:val="0"/>
                    <w:jc w:val="center"/>
                    <w:rPr>
                      <w:rFonts w:hint="default" w:eastAsia="宋体"/>
                      <w:color w:val="auto"/>
                      <w:szCs w:val="21"/>
                      <w:lang w:val="en-US" w:eastAsia="zh-CN"/>
                    </w:rPr>
                  </w:pPr>
                  <w:r>
                    <w:rPr>
                      <w:rFonts w:hint="eastAsia" w:hAnsi="宋体"/>
                      <w:color w:val="auto"/>
                      <w:szCs w:val="21"/>
                      <w:lang w:val="en-US" w:eastAsia="zh-CN"/>
                    </w:rPr>
                    <w:t>项目名称</w:t>
                  </w:r>
                </w:p>
              </w:tc>
              <w:tc>
                <w:tcPr>
                  <w:tcW w:w="3000" w:type="dxa"/>
                  <w:tcBorders>
                    <w:top w:val="single" w:color="000000" w:sz="4" w:space="0"/>
                    <w:left w:val="nil"/>
                    <w:bottom w:val="single" w:color="000000" w:sz="4" w:space="0"/>
                    <w:right w:val="single" w:color="000000" w:sz="4" w:space="0"/>
                  </w:tcBorders>
                  <w:noWrap w:val="0"/>
                  <w:vAlign w:val="center"/>
                </w:tcPr>
                <w:p w14:paraId="0C8D80AE">
                  <w:pPr>
                    <w:adjustRightInd w:val="0"/>
                    <w:snapToGrid w:val="0"/>
                    <w:jc w:val="center"/>
                    <w:rPr>
                      <w:rFonts w:hint="default" w:eastAsia="宋体"/>
                      <w:color w:val="auto"/>
                      <w:szCs w:val="21"/>
                      <w:lang w:val="en-US" w:eastAsia="zh-CN"/>
                    </w:rPr>
                  </w:pPr>
                  <w:r>
                    <w:rPr>
                      <w:rFonts w:hint="eastAsia"/>
                      <w:color w:val="auto"/>
                      <w:szCs w:val="21"/>
                      <w:lang w:val="en-US" w:eastAsia="zh-CN"/>
                    </w:rPr>
                    <w:t>年产1000万只镍氢电池项目</w:t>
                  </w:r>
                </w:p>
              </w:tc>
              <w:tc>
                <w:tcPr>
                  <w:tcW w:w="2817" w:type="dxa"/>
                  <w:tcBorders>
                    <w:top w:val="single" w:color="000000" w:sz="4" w:space="0"/>
                    <w:left w:val="nil"/>
                    <w:bottom w:val="single" w:color="000000" w:sz="4" w:space="0"/>
                    <w:right w:val="single" w:color="000000" w:sz="4" w:space="0"/>
                  </w:tcBorders>
                  <w:noWrap w:val="0"/>
                  <w:vAlign w:val="center"/>
                </w:tcPr>
                <w:p w14:paraId="1BC7035C">
                  <w:pPr>
                    <w:adjustRightInd w:val="0"/>
                    <w:snapToGrid w:val="0"/>
                    <w:jc w:val="center"/>
                    <w:rPr>
                      <w:color w:val="auto"/>
                      <w:szCs w:val="21"/>
                    </w:rPr>
                  </w:pPr>
                  <w:r>
                    <w:rPr>
                      <w:rFonts w:hint="eastAsia"/>
                      <w:color w:val="auto"/>
                      <w:szCs w:val="21"/>
                      <w:lang w:val="en-US" w:eastAsia="zh-CN"/>
                    </w:rPr>
                    <w:t>年产1000万只镍氢电池项目</w:t>
                  </w:r>
                </w:p>
              </w:tc>
              <w:tc>
                <w:tcPr>
                  <w:tcW w:w="968" w:type="dxa"/>
                  <w:tcBorders>
                    <w:top w:val="single" w:color="000000" w:sz="4" w:space="0"/>
                    <w:left w:val="nil"/>
                    <w:bottom w:val="single" w:color="000000" w:sz="4" w:space="0"/>
                  </w:tcBorders>
                  <w:noWrap w:val="0"/>
                  <w:vAlign w:val="center"/>
                </w:tcPr>
                <w:p w14:paraId="5260B0DC">
                  <w:pPr>
                    <w:adjustRightInd w:val="0"/>
                    <w:snapToGrid w:val="0"/>
                    <w:jc w:val="center"/>
                    <w:rPr>
                      <w:color w:val="auto"/>
                      <w:szCs w:val="21"/>
                    </w:rPr>
                  </w:pPr>
                  <w:r>
                    <w:rPr>
                      <w:rFonts w:hAnsi="宋体"/>
                      <w:color w:val="auto"/>
                      <w:szCs w:val="21"/>
                    </w:rPr>
                    <w:t>相符</w:t>
                  </w:r>
                </w:p>
              </w:tc>
            </w:tr>
            <w:tr w14:paraId="75EC6626">
              <w:tblPrEx>
                <w:tblCellMar>
                  <w:top w:w="0" w:type="dxa"/>
                  <w:left w:w="108" w:type="dxa"/>
                  <w:bottom w:w="0" w:type="dxa"/>
                  <w:right w:w="108" w:type="dxa"/>
                </w:tblCellMar>
              </w:tblPrEx>
              <w:trPr>
                <w:trHeight w:val="397" w:hRule="atLeast"/>
                <w:jc w:val="center"/>
              </w:trPr>
              <w:tc>
                <w:tcPr>
                  <w:tcW w:w="831" w:type="dxa"/>
                  <w:tcBorders>
                    <w:top w:val="single" w:color="000000" w:sz="4" w:space="0"/>
                    <w:bottom w:val="single" w:color="000000" w:sz="4" w:space="0"/>
                    <w:right w:val="single" w:color="000000" w:sz="4" w:space="0"/>
                  </w:tcBorders>
                  <w:noWrap w:val="0"/>
                  <w:vAlign w:val="center"/>
                </w:tcPr>
                <w:p w14:paraId="1377A57D">
                  <w:pPr>
                    <w:adjustRightInd w:val="0"/>
                    <w:snapToGrid w:val="0"/>
                    <w:jc w:val="center"/>
                    <w:rPr>
                      <w:rFonts w:hint="default" w:eastAsia="宋体"/>
                      <w:color w:val="auto"/>
                      <w:szCs w:val="21"/>
                      <w:highlight w:val="none"/>
                      <w:lang w:val="en-US" w:eastAsia="zh-CN"/>
                    </w:rPr>
                  </w:pPr>
                  <w:r>
                    <w:rPr>
                      <w:rFonts w:hint="eastAsia" w:hAnsi="宋体"/>
                      <w:color w:val="auto"/>
                      <w:szCs w:val="21"/>
                      <w:highlight w:val="none"/>
                      <w:lang w:val="en-US" w:eastAsia="zh-CN"/>
                    </w:rPr>
                    <w:t>项目性质</w:t>
                  </w:r>
                </w:p>
              </w:tc>
              <w:tc>
                <w:tcPr>
                  <w:tcW w:w="3000" w:type="dxa"/>
                  <w:tcBorders>
                    <w:top w:val="single" w:color="000000" w:sz="4" w:space="0"/>
                    <w:left w:val="nil"/>
                    <w:bottom w:val="single" w:color="000000" w:sz="4" w:space="0"/>
                    <w:right w:val="single" w:color="000000" w:sz="4" w:space="0"/>
                  </w:tcBorders>
                  <w:noWrap w:val="0"/>
                  <w:vAlign w:val="center"/>
                </w:tcPr>
                <w:p w14:paraId="33489172">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新建</w:t>
                  </w:r>
                </w:p>
              </w:tc>
              <w:tc>
                <w:tcPr>
                  <w:tcW w:w="2817" w:type="dxa"/>
                  <w:tcBorders>
                    <w:top w:val="single" w:color="000000" w:sz="4" w:space="0"/>
                    <w:left w:val="nil"/>
                    <w:bottom w:val="single" w:color="000000" w:sz="4" w:space="0"/>
                    <w:right w:val="single" w:color="000000" w:sz="4" w:space="0"/>
                  </w:tcBorders>
                  <w:noWrap w:val="0"/>
                  <w:vAlign w:val="center"/>
                </w:tcPr>
                <w:p w14:paraId="2150B861">
                  <w:pPr>
                    <w:adjustRightInd w:val="0"/>
                    <w:snapToGrid w:val="0"/>
                    <w:jc w:val="center"/>
                    <w:rPr>
                      <w:color w:val="auto"/>
                      <w:szCs w:val="21"/>
                      <w:highlight w:val="none"/>
                    </w:rPr>
                  </w:pPr>
                  <w:r>
                    <w:rPr>
                      <w:rFonts w:hint="eastAsia"/>
                      <w:color w:val="auto"/>
                      <w:szCs w:val="21"/>
                      <w:highlight w:val="none"/>
                      <w:lang w:val="en-US" w:eastAsia="zh-CN"/>
                    </w:rPr>
                    <w:t>新建</w:t>
                  </w:r>
                </w:p>
              </w:tc>
              <w:tc>
                <w:tcPr>
                  <w:tcW w:w="968" w:type="dxa"/>
                  <w:tcBorders>
                    <w:top w:val="single" w:color="000000" w:sz="4" w:space="0"/>
                    <w:left w:val="nil"/>
                    <w:bottom w:val="single" w:color="000000" w:sz="4" w:space="0"/>
                  </w:tcBorders>
                  <w:noWrap w:val="0"/>
                  <w:vAlign w:val="center"/>
                </w:tcPr>
                <w:p w14:paraId="29682C10">
                  <w:pPr>
                    <w:adjustRightInd w:val="0"/>
                    <w:snapToGrid w:val="0"/>
                    <w:jc w:val="center"/>
                    <w:rPr>
                      <w:color w:val="auto"/>
                      <w:szCs w:val="21"/>
                    </w:rPr>
                  </w:pPr>
                  <w:r>
                    <w:rPr>
                      <w:rFonts w:hAnsi="宋体"/>
                      <w:color w:val="auto"/>
                      <w:szCs w:val="21"/>
                    </w:rPr>
                    <w:t>相符</w:t>
                  </w:r>
                </w:p>
              </w:tc>
            </w:tr>
            <w:tr w14:paraId="60E53452">
              <w:tblPrEx>
                <w:tblCellMar>
                  <w:top w:w="0" w:type="dxa"/>
                  <w:left w:w="108" w:type="dxa"/>
                  <w:bottom w:w="0" w:type="dxa"/>
                  <w:right w:w="108" w:type="dxa"/>
                </w:tblCellMar>
              </w:tblPrEx>
              <w:trPr>
                <w:trHeight w:val="397" w:hRule="atLeast"/>
                <w:jc w:val="center"/>
              </w:trPr>
              <w:tc>
                <w:tcPr>
                  <w:tcW w:w="831" w:type="dxa"/>
                  <w:tcBorders>
                    <w:top w:val="single" w:color="000000" w:sz="4" w:space="0"/>
                    <w:bottom w:val="single" w:color="000000" w:sz="4" w:space="0"/>
                    <w:right w:val="single" w:color="000000" w:sz="4" w:space="0"/>
                  </w:tcBorders>
                  <w:noWrap w:val="0"/>
                  <w:vAlign w:val="center"/>
                </w:tcPr>
                <w:p w14:paraId="41940EF6">
                  <w:pPr>
                    <w:adjustRightInd w:val="0"/>
                    <w:snapToGrid w:val="0"/>
                    <w:jc w:val="center"/>
                    <w:rPr>
                      <w:rFonts w:hint="default" w:eastAsia="宋体"/>
                      <w:color w:val="auto"/>
                      <w:szCs w:val="21"/>
                      <w:lang w:val="en-US" w:eastAsia="zh-CN"/>
                    </w:rPr>
                  </w:pPr>
                  <w:r>
                    <w:rPr>
                      <w:rFonts w:hint="eastAsia" w:hAnsi="宋体"/>
                      <w:color w:val="auto"/>
                      <w:szCs w:val="21"/>
                      <w:lang w:val="en-US" w:eastAsia="zh-CN"/>
                    </w:rPr>
                    <w:t>项目投资</w:t>
                  </w:r>
                </w:p>
              </w:tc>
              <w:tc>
                <w:tcPr>
                  <w:tcW w:w="3000" w:type="dxa"/>
                  <w:tcBorders>
                    <w:top w:val="single" w:color="000000" w:sz="4" w:space="0"/>
                    <w:left w:val="nil"/>
                    <w:bottom w:val="single" w:color="000000" w:sz="4" w:space="0"/>
                    <w:right w:val="single" w:color="000000" w:sz="4" w:space="0"/>
                  </w:tcBorders>
                  <w:noWrap w:val="0"/>
                  <w:vAlign w:val="center"/>
                </w:tcPr>
                <w:p w14:paraId="407581EB">
                  <w:pPr>
                    <w:adjustRightInd w:val="0"/>
                    <w:snapToGrid w:val="0"/>
                    <w:jc w:val="center"/>
                    <w:rPr>
                      <w:rFonts w:hint="default" w:eastAsia="宋体"/>
                      <w:color w:val="auto"/>
                      <w:szCs w:val="21"/>
                      <w:lang w:val="en-US" w:eastAsia="zh-CN"/>
                    </w:rPr>
                  </w:pPr>
                  <w:r>
                    <w:rPr>
                      <w:rFonts w:hint="eastAsia"/>
                      <w:color w:val="auto"/>
                      <w:szCs w:val="21"/>
                      <w:lang w:val="en-US" w:eastAsia="zh-CN"/>
                    </w:rPr>
                    <w:t>300万元</w:t>
                  </w:r>
                </w:p>
              </w:tc>
              <w:tc>
                <w:tcPr>
                  <w:tcW w:w="2817" w:type="dxa"/>
                  <w:tcBorders>
                    <w:top w:val="single" w:color="000000" w:sz="4" w:space="0"/>
                    <w:left w:val="nil"/>
                    <w:bottom w:val="single" w:color="000000" w:sz="4" w:space="0"/>
                    <w:right w:val="single" w:color="000000" w:sz="4" w:space="0"/>
                  </w:tcBorders>
                  <w:noWrap w:val="0"/>
                  <w:vAlign w:val="center"/>
                </w:tcPr>
                <w:p w14:paraId="47103F8F">
                  <w:pPr>
                    <w:adjustRightInd w:val="0"/>
                    <w:snapToGrid w:val="0"/>
                    <w:jc w:val="center"/>
                    <w:rPr>
                      <w:color w:val="auto"/>
                      <w:szCs w:val="21"/>
                    </w:rPr>
                  </w:pPr>
                  <w:r>
                    <w:rPr>
                      <w:rFonts w:hint="eastAsia"/>
                      <w:color w:val="auto"/>
                      <w:szCs w:val="21"/>
                      <w:lang w:val="en-US" w:eastAsia="zh-CN"/>
                    </w:rPr>
                    <w:t>300万元</w:t>
                  </w:r>
                </w:p>
              </w:tc>
              <w:tc>
                <w:tcPr>
                  <w:tcW w:w="968" w:type="dxa"/>
                  <w:tcBorders>
                    <w:top w:val="single" w:color="000000" w:sz="4" w:space="0"/>
                    <w:left w:val="nil"/>
                    <w:bottom w:val="single" w:color="000000" w:sz="4" w:space="0"/>
                  </w:tcBorders>
                  <w:noWrap w:val="0"/>
                  <w:vAlign w:val="center"/>
                </w:tcPr>
                <w:p w14:paraId="1F7AC7F4">
                  <w:pPr>
                    <w:adjustRightInd w:val="0"/>
                    <w:snapToGrid w:val="0"/>
                    <w:jc w:val="center"/>
                    <w:rPr>
                      <w:color w:val="auto"/>
                      <w:szCs w:val="21"/>
                    </w:rPr>
                  </w:pPr>
                  <w:r>
                    <w:rPr>
                      <w:rFonts w:hAnsi="宋体"/>
                      <w:color w:val="auto"/>
                      <w:szCs w:val="21"/>
                    </w:rPr>
                    <w:t>相符</w:t>
                  </w:r>
                </w:p>
              </w:tc>
            </w:tr>
            <w:tr w14:paraId="1441CDE9">
              <w:tblPrEx>
                <w:tblCellMar>
                  <w:top w:w="0" w:type="dxa"/>
                  <w:left w:w="108" w:type="dxa"/>
                  <w:bottom w:w="0" w:type="dxa"/>
                  <w:right w:w="108" w:type="dxa"/>
                </w:tblCellMar>
              </w:tblPrEx>
              <w:trPr>
                <w:trHeight w:val="397" w:hRule="atLeast"/>
                <w:jc w:val="center"/>
              </w:trPr>
              <w:tc>
                <w:tcPr>
                  <w:tcW w:w="831" w:type="dxa"/>
                  <w:tcBorders>
                    <w:top w:val="single" w:color="000000" w:sz="4" w:space="0"/>
                    <w:bottom w:val="single" w:color="000000" w:sz="4" w:space="0"/>
                    <w:right w:val="single" w:color="000000" w:sz="4" w:space="0"/>
                  </w:tcBorders>
                  <w:noWrap w:val="0"/>
                  <w:vAlign w:val="center"/>
                </w:tcPr>
                <w:p w14:paraId="0B5A9DB1">
                  <w:pPr>
                    <w:adjustRightInd w:val="0"/>
                    <w:snapToGrid w:val="0"/>
                    <w:jc w:val="center"/>
                    <w:rPr>
                      <w:rFonts w:hint="eastAsia" w:eastAsia="宋体"/>
                      <w:color w:val="auto"/>
                      <w:szCs w:val="21"/>
                      <w:lang w:eastAsia="zh-CN"/>
                    </w:rPr>
                  </w:pPr>
                  <w:r>
                    <w:rPr>
                      <w:rFonts w:hint="eastAsia" w:hAnsi="宋体"/>
                      <w:color w:val="auto"/>
                      <w:szCs w:val="21"/>
                      <w:lang w:val="en-US" w:eastAsia="zh-CN"/>
                    </w:rPr>
                    <w:t>产能</w:t>
                  </w:r>
                </w:p>
              </w:tc>
              <w:tc>
                <w:tcPr>
                  <w:tcW w:w="3000" w:type="dxa"/>
                  <w:tcBorders>
                    <w:top w:val="single" w:color="000000" w:sz="4" w:space="0"/>
                    <w:left w:val="nil"/>
                    <w:bottom w:val="single" w:color="000000" w:sz="4" w:space="0"/>
                    <w:right w:val="single" w:color="000000" w:sz="4" w:space="0"/>
                  </w:tcBorders>
                  <w:noWrap w:val="0"/>
                  <w:vAlign w:val="center"/>
                </w:tcPr>
                <w:p w14:paraId="08E15544">
                  <w:pPr>
                    <w:adjustRightInd w:val="0"/>
                    <w:snapToGrid w:val="0"/>
                    <w:jc w:val="center"/>
                    <w:rPr>
                      <w:rFonts w:hint="default" w:eastAsia="宋体"/>
                      <w:color w:val="auto"/>
                      <w:szCs w:val="21"/>
                      <w:lang w:val="en-US" w:eastAsia="zh-CN"/>
                    </w:rPr>
                  </w:pPr>
                  <w:r>
                    <w:rPr>
                      <w:rFonts w:hint="eastAsia"/>
                      <w:color w:val="auto"/>
                      <w:szCs w:val="21"/>
                      <w:lang w:val="en-US" w:eastAsia="zh-CN"/>
                    </w:rPr>
                    <w:t>年产1000万只镍氢电池</w:t>
                  </w:r>
                </w:p>
              </w:tc>
              <w:tc>
                <w:tcPr>
                  <w:tcW w:w="2817" w:type="dxa"/>
                  <w:tcBorders>
                    <w:top w:val="single" w:color="000000" w:sz="4" w:space="0"/>
                    <w:left w:val="nil"/>
                    <w:bottom w:val="single" w:color="000000" w:sz="4" w:space="0"/>
                    <w:right w:val="single" w:color="000000" w:sz="4" w:space="0"/>
                  </w:tcBorders>
                  <w:noWrap w:val="0"/>
                  <w:vAlign w:val="center"/>
                </w:tcPr>
                <w:p w14:paraId="7FFA18AE">
                  <w:pPr>
                    <w:adjustRightInd w:val="0"/>
                    <w:snapToGrid w:val="0"/>
                    <w:jc w:val="center"/>
                    <w:rPr>
                      <w:rFonts w:hint="eastAsia" w:eastAsia="宋体"/>
                      <w:color w:val="auto"/>
                      <w:szCs w:val="21"/>
                      <w:lang w:eastAsia="zh-CN"/>
                    </w:rPr>
                  </w:pPr>
                  <w:r>
                    <w:rPr>
                      <w:rFonts w:hint="eastAsia"/>
                      <w:color w:val="auto"/>
                      <w:szCs w:val="21"/>
                      <w:lang w:val="en-US" w:eastAsia="zh-CN"/>
                    </w:rPr>
                    <w:t>年产1000万只镍氢电池</w:t>
                  </w:r>
                </w:p>
              </w:tc>
              <w:tc>
                <w:tcPr>
                  <w:tcW w:w="968" w:type="dxa"/>
                  <w:tcBorders>
                    <w:top w:val="single" w:color="000000" w:sz="4" w:space="0"/>
                    <w:left w:val="nil"/>
                    <w:bottom w:val="single" w:color="000000" w:sz="4" w:space="0"/>
                  </w:tcBorders>
                  <w:noWrap w:val="0"/>
                  <w:vAlign w:val="center"/>
                </w:tcPr>
                <w:p w14:paraId="7FDD7AD2">
                  <w:pPr>
                    <w:adjustRightInd w:val="0"/>
                    <w:snapToGrid w:val="0"/>
                    <w:jc w:val="center"/>
                    <w:rPr>
                      <w:color w:val="auto"/>
                      <w:szCs w:val="21"/>
                    </w:rPr>
                  </w:pPr>
                  <w:r>
                    <w:rPr>
                      <w:rFonts w:hAnsi="宋体"/>
                      <w:color w:val="auto"/>
                      <w:szCs w:val="21"/>
                    </w:rPr>
                    <w:t>相符</w:t>
                  </w:r>
                </w:p>
              </w:tc>
            </w:tr>
            <w:tr w14:paraId="6E48AECE">
              <w:tblPrEx>
                <w:tblCellMar>
                  <w:top w:w="0" w:type="dxa"/>
                  <w:left w:w="108" w:type="dxa"/>
                  <w:bottom w:w="0" w:type="dxa"/>
                  <w:right w:w="108" w:type="dxa"/>
                </w:tblCellMar>
              </w:tblPrEx>
              <w:trPr>
                <w:trHeight w:val="397" w:hRule="atLeast"/>
                <w:jc w:val="center"/>
              </w:trPr>
              <w:tc>
                <w:tcPr>
                  <w:tcW w:w="831" w:type="dxa"/>
                  <w:tcBorders>
                    <w:top w:val="single" w:color="000000" w:sz="4" w:space="0"/>
                    <w:bottom w:val="single" w:color="000000" w:sz="4" w:space="0"/>
                    <w:right w:val="single" w:color="000000" w:sz="4" w:space="0"/>
                  </w:tcBorders>
                  <w:noWrap w:val="0"/>
                  <w:vAlign w:val="center"/>
                </w:tcPr>
                <w:p w14:paraId="6A1AAE38">
                  <w:pPr>
                    <w:adjustRightInd w:val="0"/>
                    <w:snapToGrid w:val="0"/>
                    <w:jc w:val="center"/>
                    <w:rPr>
                      <w:rFonts w:hint="default" w:hAnsi="宋体"/>
                      <w:color w:val="auto"/>
                      <w:szCs w:val="21"/>
                      <w:lang w:val="en-US" w:eastAsia="zh-CN"/>
                    </w:rPr>
                  </w:pPr>
                  <w:r>
                    <w:rPr>
                      <w:rFonts w:hint="eastAsia" w:hAnsi="宋体"/>
                      <w:color w:val="auto"/>
                      <w:szCs w:val="21"/>
                      <w:lang w:val="en-US" w:eastAsia="zh-CN"/>
                    </w:rPr>
                    <w:t>建设地点</w:t>
                  </w:r>
                </w:p>
              </w:tc>
              <w:tc>
                <w:tcPr>
                  <w:tcW w:w="3000" w:type="dxa"/>
                  <w:tcBorders>
                    <w:top w:val="single" w:color="000000" w:sz="4" w:space="0"/>
                    <w:left w:val="nil"/>
                    <w:bottom w:val="single" w:color="000000" w:sz="4" w:space="0"/>
                    <w:right w:val="single" w:color="000000" w:sz="4" w:space="0"/>
                  </w:tcBorders>
                  <w:noWrap w:val="0"/>
                  <w:vAlign w:val="center"/>
                </w:tcPr>
                <w:p w14:paraId="32E5072F">
                  <w:pPr>
                    <w:adjustRightInd w:val="0"/>
                    <w:snapToGrid w:val="0"/>
                    <w:jc w:val="center"/>
                    <w:rPr>
                      <w:rFonts w:hint="eastAsia"/>
                      <w:color w:val="auto"/>
                      <w:szCs w:val="21"/>
                      <w:lang w:val="en-US" w:eastAsia="zh-CN"/>
                    </w:rPr>
                  </w:pPr>
                  <w:r>
                    <w:rPr>
                      <w:rFonts w:hint="eastAsia"/>
                      <w:color w:val="auto"/>
                      <w:szCs w:val="21"/>
                      <w:lang w:val="en-US" w:eastAsia="zh-CN"/>
                    </w:rPr>
                    <w:t>河南省新乡市延津县石婆固乡西秦庄村012号</w:t>
                  </w:r>
                </w:p>
              </w:tc>
              <w:tc>
                <w:tcPr>
                  <w:tcW w:w="2817" w:type="dxa"/>
                  <w:tcBorders>
                    <w:top w:val="single" w:color="000000" w:sz="4" w:space="0"/>
                    <w:left w:val="nil"/>
                    <w:bottom w:val="single" w:color="000000" w:sz="4" w:space="0"/>
                    <w:right w:val="single" w:color="000000" w:sz="4" w:space="0"/>
                  </w:tcBorders>
                  <w:noWrap w:val="0"/>
                  <w:vAlign w:val="center"/>
                </w:tcPr>
                <w:p w14:paraId="3AEA4895">
                  <w:pPr>
                    <w:adjustRightInd w:val="0"/>
                    <w:snapToGrid w:val="0"/>
                    <w:jc w:val="center"/>
                    <w:rPr>
                      <w:rFonts w:hint="eastAsia" w:eastAsia="宋体"/>
                      <w:color w:val="auto"/>
                      <w:szCs w:val="21"/>
                      <w:lang w:eastAsia="zh-CN"/>
                    </w:rPr>
                  </w:pPr>
                  <w:r>
                    <w:rPr>
                      <w:rFonts w:hint="eastAsia"/>
                      <w:color w:val="auto"/>
                      <w:szCs w:val="21"/>
                      <w:lang w:val="en-US" w:eastAsia="zh-CN"/>
                    </w:rPr>
                    <w:t>河南省新乡市延津县石婆固乡西秦庄村012号</w:t>
                  </w:r>
                </w:p>
              </w:tc>
              <w:tc>
                <w:tcPr>
                  <w:tcW w:w="968" w:type="dxa"/>
                  <w:tcBorders>
                    <w:top w:val="single" w:color="000000" w:sz="4" w:space="0"/>
                    <w:left w:val="nil"/>
                    <w:bottom w:val="single" w:color="000000" w:sz="4" w:space="0"/>
                  </w:tcBorders>
                  <w:noWrap w:val="0"/>
                  <w:vAlign w:val="center"/>
                </w:tcPr>
                <w:p w14:paraId="263B89B7">
                  <w:pPr>
                    <w:adjustRightInd w:val="0"/>
                    <w:snapToGrid w:val="0"/>
                    <w:jc w:val="center"/>
                    <w:rPr>
                      <w:rFonts w:hint="eastAsia" w:hAnsi="宋体" w:eastAsia="宋体"/>
                      <w:color w:val="auto"/>
                      <w:szCs w:val="21"/>
                      <w:lang w:val="en-US" w:eastAsia="zh-CN"/>
                    </w:rPr>
                  </w:pPr>
                  <w:r>
                    <w:rPr>
                      <w:rFonts w:hint="eastAsia" w:hAnsi="宋体"/>
                      <w:color w:val="auto"/>
                      <w:szCs w:val="21"/>
                      <w:lang w:val="en-US" w:eastAsia="zh-CN"/>
                    </w:rPr>
                    <w:t>相符</w:t>
                  </w:r>
                </w:p>
              </w:tc>
            </w:tr>
            <w:tr w14:paraId="41BF3174">
              <w:tblPrEx>
                <w:tblCellMar>
                  <w:top w:w="0" w:type="dxa"/>
                  <w:left w:w="108" w:type="dxa"/>
                  <w:bottom w:w="0" w:type="dxa"/>
                  <w:right w:w="108" w:type="dxa"/>
                </w:tblCellMar>
              </w:tblPrEx>
              <w:trPr>
                <w:trHeight w:val="397" w:hRule="atLeast"/>
                <w:jc w:val="center"/>
              </w:trPr>
              <w:tc>
                <w:tcPr>
                  <w:tcW w:w="831" w:type="dxa"/>
                  <w:tcBorders>
                    <w:top w:val="single" w:color="000000" w:sz="4" w:space="0"/>
                    <w:bottom w:val="single" w:color="auto" w:sz="8" w:space="0"/>
                    <w:right w:val="single" w:color="000000" w:sz="4" w:space="0"/>
                  </w:tcBorders>
                  <w:noWrap w:val="0"/>
                  <w:vAlign w:val="center"/>
                </w:tcPr>
                <w:p w14:paraId="0A6CD57C">
                  <w:pPr>
                    <w:adjustRightInd w:val="0"/>
                    <w:snapToGrid w:val="0"/>
                    <w:jc w:val="center"/>
                    <w:rPr>
                      <w:rFonts w:hint="default" w:hAnsi="宋体"/>
                      <w:color w:val="auto"/>
                      <w:szCs w:val="21"/>
                      <w:lang w:val="en-US" w:eastAsia="zh-CN"/>
                    </w:rPr>
                  </w:pPr>
                  <w:r>
                    <w:rPr>
                      <w:rFonts w:hint="eastAsia" w:hAnsi="宋体"/>
                      <w:color w:val="auto"/>
                      <w:szCs w:val="21"/>
                      <w:lang w:val="en-US" w:eastAsia="zh-CN"/>
                    </w:rPr>
                    <w:t>生产工艺</w:t>
                  </w:r>
                </w:p>
              </w:tc>
              <w:tc>
                <w:tcPr>
                  <w:tcW w:w="3000" w:type="dxa"/>
                  <w:tcBorders>
                    <w:top w:val="single" w:color="000000" w:sz="4" w:space="0"/>
                    <w:left w:val="nil"/>
                    <w:bottom w:val="single" w:color="auto" w:sz="8" w:space="0"/>
                    <w:right w:val="single" w:color="000000" w:sz="4" w:space="0"/>
                  </w:tcBorders>
                  <w:noWrap w:val="0"/>
                  <w:vAlign w:val="center"/>
                </w:tcPr>
                <w:p w14:paraId="76842DA7">
                  <w:pPr>
                    <w:adjustRightInd w:val="0"/>
                    <w:snapToGrid w:val="0"/>
                    <w:jc w:val="center"/>
                    <w:rPr>
                      <w:rFonts w:hint="eastAsia"/>
                      <w:color w:val="auto"/>
                      <w:szCs w:val="21"/>
                      <w:lang w:val="en-US" w:eastAsia="zh-CN"/>
                    </w:rPr>
                  </w:pPr>
                  <w:r>
                    <w:rPr>
                      <w:rFonts w:hint="eastAsia"/>
                      <w:color w:val="auto"/>
                      <w:szCs w:val="21"/>
                      <w:lang w:val="en-US" w:eastAsia="zh-CN"/>
                    </w:rPr>
                    <w:t>外购阳极片一点极耳一(外购阴极片、隔膜纸)卷绕一滚槽一注液一封口一化成一检验一包装一入库待售</w:t>
                  </w:r>
                </w:p>
              </w:tc>
              <w:tc>
                <w:tcPr>
                  <w:tcW w:w="2817" w:type="dxa"/>
                  <w:tcBorders>
                    <w:top w:val="single" w:color="000000" w:sz="4" w:space="0"/>
                    <w:left w:val="nil"/>
                    <w:bottom w:val="single" w:color="auto" w:sz="8" w:space="0"/>
                    <w:right w:val="single" w:color="000000" w:sz="4" w:space="0"/>
                  </w:tcBorders>
                  <w:noWrap w:val="0"/>
                  <w:vAlign w:val="center"/>
                </w:tcPr>
                <w:p w14:paraId="38EA2AF1">
                  <w:pPr>
                    <w:adjustRightInd w:val="0"/>
                    <w:snapToGrid w:val="0"/>
                    <w:jc w:val="center"/>
                    <w:rPr>
                      <w:rFonts w:hint="eastAsia"/>
                      <w:color w:val="auto"/>
                      <w:szCs w:val="21"/>
                      <w:lang w:val="en-US" w:eastAsia="zh-CN"/>
                    </w:rPr>
                  </w:pPr>
                  <w:r>
                    <w:rPr>
                      <w:rFonts w:hint="eastAsia"/>
                      <w:color w:val="auto"/>
                      <w:szCs w:val="21"/>
                      <w:lang w:val="en-US" w:eastAsia="zh-CN"/>
                    </w:rPr>
                    <w:t>外购阳极片一点极耳一(外购阴极片、隔膜纸)卷绕一滚槽一注液一封口一化成一检验一包装一入库待售</w:t>
                  </w:r>
                </w:p>
              </w:tc>
              <w:tc>
                <w:tcPr>
                  <w:tcW w:w="968" w:type="dxa"/>
                  <w:tcBorders>
                    <w:top w:val="single" w:color="000000" w:sz="4" w:space="0"/>
                    <w:left w:val="nil"/>
                    <w:bottom w:val="single" w:color="auto" w:sz="8" w:space="0"/>
                  </w:tcBorders>
                  <w:noWrap w:val="0"/>
                  <w:vAlign w:val="center"/>
                </w:tcPr>
                <w:p w14:paraId="73E3F8FF">
                  <w:pPr>
                    <w:adjustRightInd w:val="0"/>
                    <w:snapToGrid w:val="0"/>
                    <w:jc w:val="center"/>
                    <w:rPr>
                      <w:rFonts w:hint="default" w:hAnsi="宋体"/>
                      <w:color w:val="auto"/>
                      <w:szCs w:val="21"/>
                      <w:lang w:val="en-US" w:eastAsia="zh-CN"/>
                    </w:rPr>
                  </w:pPr>
                  <w:r>
                    <w:rPr>
                      <w:rFonts w:hint="eastAsia" w:hAnsi="宋体"/>
                      <w:color w:val="auto"/>
                      <w:szCs w:val="21"/>
                      <w:lang w:val="en-US" w:eastAsia="zh-CN"/>
                    </w:rPr>
                    <w:t>相符</w:t>
                  </w:r>
                </w:p>
              </w:tc>
            </w:tr>
          </w:tbl>
          <w:p w14:paraId="765A3B06">
            <w:pPr>
              <w:pStyle w:val="16"/>
              <w:keepNext w:val="0"/>
              <w:keepLines w:val="0"/>
              <w:pageBreakBefore w:val="0"/>
              <w:kinsoku/>
              <w:wordWrap/>
              <w:overflowPunct/>
              <w:topLinePunct w:val="0"/>
              <w:autoSpaceDE/>
              <w:autoSpaceDN/>
              <w:bidi w:val="0"/>
              <w:adjustRightInd w:val="0"/>
              <w:snapToGrid w:val="0"/>
              <w:spacing w:before="157" w:beforeLines="50" w:beforeAutospacing="0" w:after="0" w:afterAutospacing="0" w:line="360" w:lineRule="auto"/>
              <w:ind w:firstLine="482" w:firstLineChars="200"/>
              <w:outlineLvl w:val="0"/>
              <w:rPr>
                <w:rFonts w:ascii="Times New Roman" w:hAnsi="Times New Roman"/>
                <w:b/>
                <w:bCs/>
                <w:color w:val="auto"/>
                <w:szCs w:val="24"/>
                <w:highlight w:val="none"/>
                <w:lang w:val="en-US" w:eastAsia="zh-CN"/>
              </w:rPr>
            </w:pPr>
            <w:r>
              <w:rPr>
                <w:rFonts w:hint="eastAsia" w:ascii="Times New Roman" w:hAnsi="Times New Roman" w:cs="Times New Roman"/>
                <w:b/>
                <w:bCs/>
                <w:color w:val="auto"/>
                <w:sz w:val="24"/>
                <w:szCs w:val="24"/>
                <w:highlight w:val="none"/>
                <w:lang w:val="en-US" w:eastAsia="zh-CN"/>
              </w:rPr>
              <w:t>5</w:t>
            </w:r>
            <w:r>
              <w:rPr>
                <w:rFonts w:hint="eastAsia" w:ascii="Times New Roman" w:hAnsi="Times New Roman" w:eastAsia="宋体" w:cs="Times New Roman"/>
                <w:b/>
                <w:bCs/>
                <w:color w:val="auto"/>
                <w:sz w:val="24"/>
                <w:szCs w:val="24"/>
                <w:highlight w:val="none"/>
                <w:lang w:val="en-US" w:eastAsia="zh-CN"/>
              </w:rPr>
              <w:t>、</w:t>
            </w:r>
            <w:r>
              <w:rPr>
                <w:rFonts w:hint="default" w:ascii="Times New Roman" w:hAnsi="Times New Roman" w:eastAsia="宋体" w:cs="Times New Roman"/>
                <w:b/>
                <w:bCs/>
                <w:color w:val="auto"/>
                <w:kern w:val="2"/>
                <w:sz w:val="24"/>
                <w:szCs w:val="24"/>
                <w:highlight w:val="none"/>
                <w:lang w:val="en-US" w:eastAsia="zh-CN" w:bidi="ar-SA"/>
              </w:rPr>
              <w:t>本项目与新乡市</w:t>
            </w:r>
            <w:r>
              <w:rPr>
                <w:rFonts w:hint="eastAsia" w:ascii="Times New Roman" w:hAnsi="Times New Roman" w:cs="Times New Roman"/>
                <w:b/>
                <w:bCs/>
                <w:color w:val="auto"/>
                <w:kern w:val="2"/>
                <w:sz w:val="24"/>
                <w:szCs w:val="24"/>
                <w:highlight w:val="none"/>
                <w:lang w:val="en-US" w:eastAsia="zh-CN" w:bidi="ar-SA"/>
              </w:rPr>
              <w:t>2026</w:t>
            </w:r>
            <w:r>
              <w:rPr>
                <w:rFonts w:hint="default" w:ascii="Times New Roman" w:hAnsi="Times New Roman" w:eastAsia="宋体" w:cs="Times New Roman"/>
                <w:b/>
                <w:bCs/>
                <w:color w:val="auto"/>
                <w:kern w:val="2"/>
                <w:sz w:val="24"/>
                <w:szCs w:val="24"/>
                <w:highlight w:val="none"/>
                <w:lang w:val="en-US" w:eastAsia="zh-CN" w:bidi="ar-SA"/>
              </w:rPr>
              <w:t>年各项保卫战实施方案的对比分析</w:t>
            </w:r>
          </w:p>
          <w:p w14:paraId="5325C65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rPr>
                <w:rFonts w:hint="default" w:ascii="Times New Roman" w:hAnsi="宋体" w:eastAsia="宋体" w:cs="Times New Roman"/>
                <w:color w:val="auto"/>
                <w:sz w:val="24"/>
                <w:lang w:val="en-US" w:eastAsia="zh-CN"/>
              </w:rPr>
            </w:pPr>
            <w:r>
              <w:rPr>
                <w:rFonts w:hint="default" w:ascii="Times New Roman" w:hAnsi="宋体" w:eastAsia="宋体" w:cs="Times New Roman"/>
                <w:color w:val="auto"/>
                <w:sz w:val="24"/>
                <w:lang w:val="en-US" w:eastAsia="zh-CN"/>
              </w:rPr>
              <w:t>新乡市生态环境保护委员会办公室出具了关于《新乡市</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年蓝天保卫战实施方案》（新环委办【</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w:t>
            </w:r>
            <w:r>
              <w:rPr>
                <w:rFonts w:hint="eastAsia" w:ascii="Times New Roman" w:hAnsi="宋体" w:eastAsia="宋体" w:cs="Times New Roman"/>
                <w:color w:val="auto"/>
                <w:sz w:val="24"/>
                <w:lang w:val="en-US" w:eastAsia="zh-CN"/>
              </w:rPr>
              <w:t>18</w:t>
            </w:r>
            <w:r>
              <w:rPr>
                <w:rFonts w:hint="default" w:ascii="Times New Roman" w:hAnsi="宋体" w:eastAsia="宋体" w:cs="Times New Roman"/>
                <w:color w:val="auto"/>
                <w:sz w:val="24"/>
                <w:lang w:val="en-US" w:eastAsia="zh-CN"/>
              </w:rPr>
              <w:t>号）、《新乡市</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年碧水保卫战实施方案》、《新乡市</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年净土保卫战实施方案》（新环委办【</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w:t>
            </w:r>
            <w:r>
              <w:rPr>
                <w:rFonts w:hint="eastAsia" w:ascii="Times New Roman" w:hAnsi="宋体" w:eastAsia="宋体" w:cs="Times New Roman"/>
                <w:color w:val="auto"/>
                <w:sz w:val="24"/>
                <w:lang w:val="en-US" w:eastAsia="zh-CN"/>
              </w:rPr>
              <w:t>20</w:t>
            </w:r>
            <w:r>
              <w:rPr>
                <w:rFonts w:hint="default" w:ascii="Times New Roman" w:hAnsi="宋体" w:eastAsia="宋体" w:cs="Times New Roman"/>
                <w:color w:val="auto"/>
                <w:sz w:val="24"/>
                <w:lang w:val="en-US" w:eastAsia="zh-CN"/>
              </w:rPr>
              <w:t>号）、《新乡市</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年柴油货车污染治理攻坚战实施方案》的通知（新环委办【</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w:t>
            </w:r>
            <w:r>
              <w:rPr>
                <w:rFonts w:hint="eastAsia" w:ascii="Times New Roman" w:hAnsi="宋体" w:eastAsia="宋体" w:cs="Times New Roman"/>
                <w:color w:val="auto"/>
                <w:sz w:val="24"/>
                <w:lang w:val="en-US" w:eastAsia="zh-CN"/>
              </w:rPr>
              <w:t>21</w:t>
            </w:r>
            <w:r>
              <w:rPr>
                <w:rFonts w:hint="default" w:ascii="Times New Roman" w:hAnsi="宋体" w:eastAsia="宋体" w:cs="Times New Roman"/>
                <w:color w:val="auto"/>
                <w:sz w:val="24"/>
                <w:lang w:val="en-US" w:eastAsia="zh-CN"/>
              </w:rPr>
              <w:t>号），本项目与新乡市</w:t>
            </w:r>
            <w:r>
              <w:rPr>
                <w:rFonts w:hint="eastAsia" w:ascii="Times New Roman" w:hAnsi="宋体" w:eastAsia="宋体" w:cs="Times New Roman"/>
                <w:color w:val="auto"/>
                <w:sz w:val="24"/>
                <w:lang w:val="en-US" w:eastAsia="zh-CN"/>
              </w:rPr>
              <w:t>2026</w:t>
            </w:r>
            <w:r>
              <w:rPr>
                <w:rFonts w:hint="default" w:ascii="Times New Roman" w:hAnsi="宋体" w:eastAsia="宋体" w:cs="Times New Roman"/>
                <w:color w:val="auto"/>
                <w:sz w:val="24"/>
                <w:lang w:val="en-US" w:eastAsia="zh-CN"/>
              </w:rPr>
              <w:t>年各项保卫战实施方案的相符性分析见下表。</w:t>
            </w:r>
          </w:p>
          <w:p w14:paraId="08612A3C">
            <w:pPr>
              <w:keepNext w:val="0"/>
              <w:keepLines w:val="0"/>
              <w:pageBreakBefore w:val="0"/>
              <w:kinsoku/>
              <w:wordWrap/>
              <w:overflowPunct/>
              <w:topLinePunct w:val="0"/>
              <w:autoSpaceDE/>
              <w:autoSpaceDN/>
              <w:bidi w:val="0"/>
              <w:spacing w:before="157" w:beforeLines="50" w:line="360" w:lineRule="auto"/>
              <w:jc w:val="center"/>
              <w:textAlignment w:val="baseline"/>
              <w:rPr>
                <w:rFonts w:hint="default" w:ascii="Times New Roman" w:hAnsi="Times New Roman" w:eastAsia="黑体" w:cs="Times New Roman"/>
                <w:bCs/>
                <w:color w:val="auto"/>
                <w:sz w:val="24"/>
                <w:lang w:val="en-US" w:eastAsia="zh-CN"/>
              </w:rPr>
            </w:pPr>
            <w:r>
              <w:rPr>
                <w:rFonts w:hint="eastAsia" w:ascii="Times New Roman" w:hAnsi="Times New Roman" w:eastAsia="黑体" w:cs="Times New Roman"/>
                <w:bCs/>
                <w:color w:val="auto"/>
                <w:sz w:val="24"/>
                <w:lang w:val="en-US" w:eastAsia="zh-CN"/>
              </w:rPr>
              <w:t>表</w:t>
            </w:r>
            <w:r>
              <w:rPr>
                <w:rFonts w:hint="eastAsia" w:eastAsia="黑体" w:cs="Times New Roman"/>
                <w:bCs/>
                <w:color w:val="auto"/>
                <w:sz w:val="24"/>
                <w:lang w:val="en-US" w:eastAsia="zh-CN"/>
              </w:rPr>
              <w:t>4</w:t>
            </w:r>
            <w:r>
              <w:rPr>
                <w:rFonts w:hint="eastAsia" w:ascii="Times New Roman" w:hAnsi="Times New Roman" w:eastAsia="黑体" w:cs="Times New Roman"/>
                <w:bCs/>
                <w:color w:val="auto"/>
                <w:sz w:val="24"/>
                <w:lang w:val="en-US" w:eastAsia="zh-CN"/>
              </w:rPr>
              <w:t xml:space="preserve">     与新乡市</w:t>
            </w:r>
            <w:r>
              <w:rPr>
                <w:rFonts w:hint="eastAsia" w:eastAsia="黑体" w:cs="Times New Roman"/>
                <w:bCs/>
                <w:color w:val="auto"/>
                <w:sz w:val="24"/>
                <w:lang w:val="en-US" w:eastAsia="zh-CN"/>
              </w:rPr>
              <w:t>2026</w:t>
            </w:r>
            <w:r>
              <w:rPr>
                <w:rFonts w:hint="eastAsia" w:ascii="Times New Roman" w:hAnsi="Times New Roman" w:eastAsia="黑体" w:cs="Times New Roman"/>
                <w:bCs/>
                <w:color w:val="auto"/>
                <w:sz w:val="24"/>
                <w:lang w:val="en-US" w:eastAsia="zh-CN"/>
              </w:rPr>
              <w:t>年各项保卫战实施方案的相符性分析</w:t>
            </w:r>
          </w:p>
          <w:tbl>
            <w:tblPr>
              <w:tblStyle w:val="17"/>
              <w:tblW w:w="7765" w:type="dxa"/>
              <w:tblInd w:w="-7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8"/>
              <w:gridCol w:w="4135"/>
              <w:gridCol w:w="2204"/>
              <w:gridCol w:w="538"/>
            </w:tblGrid>
            <w:tr w14:paraId="0BADD6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8" w:type="dxa"/>
                  <w:tcBorders>
                    <w:bottom w:val="single" w:color="auto" w:sz="12" w:space="0"/>
                  </w:tcBorders>
                  <w:noWrap/>
                  <w:vAlign w:val="center"/>
                </w:tcPr>
                <w:p w14:paraId="09F7D85A">
                  <w:pPr>
                    <w:adjustRightInd w:val="0"/>
                    <w:snapToGrid w:val="0"/>
                    <w:jc w:val="center"/>
                    <w:textAlignment w:val="baseline"/>
                    <w:rPr>
                      <w:rFonts w:ascii="宋体" w:hAnsi="宋体"/>
                      <w:b/>
                      <w:color w:val="auto"/>
                      <w:szCs w:val="21"/>
                      <w:highlight w:val="none"/>
                    </w:rPr>
                  </w:pPr>
                  <w:r>
                    <w:rPr>
                      <w:rFonts w:ascii="宋体" w:hAnsi="宋体"/>
                      <w:b/>
                      <w:color w:val="auto"/>
                      <w:szCs w:val="21"/>
                      <w:highlight w:val="none"/>
                    </w:rPr>
                    <w:t>类别</w:t>
                  </w:r>
                </w:p>
              </w:tc>
              <w:tc>
                <w:tcPr>
                  <w:tcW w:w="4135" w:type="dxa"/>
                  <w:tcBorders>
                    <w:bottom w:val="single" w:color="auto" w:sz="12" w:space="0"/>
                  </w:tcBorders>
                  <w:noWrap/>
                  <w:vAlign w:val="center"/>
                </w:tcPr>
                <w:p w14:paraId="1190BC40">
                  <w:pPr>
                    <w:adjustRightInd w:val="0"/>
                    <w:snapToGrid w:val="0"/>
                    <w:jc w:val="center"/>
                    <w:textAlignment w:val="baseline"/>
                    <w:rPr>
                      <w:rFonts w:ascii="宋体" w:hAnsi="宋体"/>
                      <w:b/>
                      <w:color w:val="auto"/>
                      <w:szCs w:val="21"/>
                      <w:highlight w:val="none"/>
                    </w:rPr>
                  </w:pPr>
                  <w:r>
                    <w:rPr>
                      <w:rFonts w:ascii="宋体" w:hAnsi="宋体"/>
                      <w:b/>
                      <w:color w:val="auto"/>
                      <w:szCs w:val="21"/>
                      <w:highlight w:val="none"/>
                    </w:rPr>
                    <w:t>内容</w:t>
                  </w:r>
                </w:p>
              </w:tc>
              <w:tc>
                <w:tcPr>
                  <w:tcW w:w="2204" w:type="dxa"/>
                  <w:tcBorders>
                    <w:bottom w:val="single" w:color="auto" w:sz="12" w:space="0"/>
                  </w:tcBorders>
                  <w:noWrap/>
                  <w:vAlign w:val="center"/>
                </w:tcPr>
                <w:p w14:paraId="4B0B2F47">
                  <w:pPr>
                    <w:adjustRightInd w:val="0"/>
                    <w:snapToGrid w:val="0"/>
                    <w:jc w:val="center"/>
                    <w:textAlignment w:val="baseline"/>
                    <w:rPr>
                      <w:rFonts w:ascii="宋体" w:hAnsi="宋体"/>
                      <w:b/>
                      <w:color w:val="auto"/>
                      <w:szCs w:val="21"/>
                      <w:highlight w:val="none"/>
                    </w:rPr>
                  </w:pPr>
                  <w:r>
                    <w:rPr>
                      <w:rFonts w:ascii="宋体" w:hAnsi="宋体"/>
                      <w:b/>
                      <w:color w:val="auto"/>
                      <w:szCs w:val="21"/>
                      <w:highlight w:val="none"/>
                    </w:rPr>
                    <w:t>本项目情况</w:t>
                  </w:r>
                </w:p>
              </w:tc>
              <w:tc>
                <w:tcPr>
                  <w:tcW w:w="538" w:type="dxa"/>
                  <w:tcBorders>
                    <w:bottom w:val="single" w:color="auto" w:sz="12" w:space="0"/>
                  </w:tcBorders>
                  <w:noWrap/>
                  <w:vAlign w:val="center"/>
                </w:tcPr>
                <w:p w14:paraId="77723DF3">
                  <w:pPr>
                    <w:adjustRightInd w:val="0"/>
                    <w:snapToGrid w:val="0"/>
                    <w:jc w:val="center"/>
                    <w:textAlignment w:val="baseline"/>
                    <w:rPr>
                      <w:rFonts w:ascii="宋体" w:hAnsi="宋体"/>
                      <w:b/>
                      <w:color w:val="auto"/>
                      <w:szCs w:val="21"/>
                      <w:highlight w:val="none"/>
                    </w:rPr>
                  </w:pPr>
                  <w:r>
                    <w:rPr>
                      <w:rFonts w:ascii="宋体" w:hAnsi="宋体"/>
                      <w:b/>
                      <w:color w:val="auto"/>
                      <w:szCs w:val="21"/>
                      <w:highlight w:val="none"/>
                    </w:rPr>
                    <w:t>对比结果</w:t>
                  </w:r>
                </w:p>
              </w:tc>
            </w:tr>
            <w:tr w14:paraId="74F392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5" w:type="dxa"/>
                  <w:gridSpan w:val="4"/>
                  <w:tcBorders>
                    <w:top w:val="single" w:color="auto" w:sz="12" w:space="0"/>
                  </w:tcBorders>
                  <w:shd w:val="clear" w:color="auto" w:fill="auto"/>
                  <w:noWrap/>
                  <w:vAlign w:val="center"/>
                </w:tcPr>
                <w:p w14:paraId="693CAFC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eastAsiaTheme="minorEastAsia"/>
                      <w:color w:val="auto"/>
                      <w:kern w:val="2"/>
                      <w:sz w:val="21"/>
                      <w:szCs w:val="21"/>
                      <w:highlight w:val="none"/>
                      <w:lang w:val="en-US" w:eastAsia="zh-CN" w:bidi="ar-SA"/>
                    </w:rPr>
                  </w:pPr>
                  <w:r>
                    <w:rPr>
                      <w:rFonts w:hint="eastAsia"/>
                      <w:b/>
                      <w:bCs/>
                      <w:color w:val="auto"/>
                      <w:sz w:val="21"/>
                      <w:szCs w:val="21"/>
                      <w:highlight w:val="none"/>
                      <w:lang w:val="en-US" w:eastAsia="zh-CN"/>
                    </w:rPr>
                    <w:t>《新乡市2026年蓝天保卫战实施方案》</w:t>
                  </w:r>
                </w:p>
              </w:tc>
            </w:tr>
            <w:tr w14:paraId="0EC3C3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8" w:type="dxa"/>
                  <w:tcBorders>
                    <w:top w:val="single" w:color="auto" w:sz="4" w:space="0"/>
                  </w:tcBorders>
                  <w:shd w:val="clear" w:color="auto" w:fill="auto"/>
                  <w:noWrap/>
                  <w:vAlign w:val="center"/>
                </w:tcPr>
                <w:p w14:paraId="6DB35737">
                  <w:pPr>
                    <w:keepNext w:val="0"/>
                    <w:keepLines w:val="0"/>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7</w:t>
                  </w:r>
                  <w:r>
                    <w:rPr>
                      <w:rFonts w:hint="default" w:ascii="Times New Roman" w:hAnsi="Times New Roman" w:cs="Times New Roman"/>
                      <w:bCs/>
                      <w:color w:val="auto"/>
                      <w:sz w:val="21"/>
                      <w:szCs w:val="21"/>
                      <w:highlight w:val="none"/>
                      <w:lang w:val="en-US" w:eastAsia="zh-CN"/>
                    </w:rPr>
                    <w:t>.</w:t>
                  </w:r>
                  <w:r>
                    <w:rPr>
                      <w:rFonts w:hint="eastAsia" w:ascii="Times New Roman" w:hAnsi="Times New Roman" w:cs="Times New Roman"/>
                      <w:bCs/>
                      <w:color w:val="auto"/>
                      <w:sz w:val="21"/>
                      <w:szCs w:val="21"/>
                      <w:highlight w:val="none"/>
                      <w:lang w:val="en-US" w:eastAsia="zh-CN"/>
                    </w:rPr>
                    <w:t>开展工业炉窑清洁能源替代改造</w:t>
                  </w:r>
                </w:p>
              </w:tc>
              <w:tc>
                <w:tcPr>
                  <w:tcW w:w="4135" w:type="dxa"/>
                  <w:tcBorders>
                    <w:top w:val="single" w:color="auto" w:sz="4" w:space="0"/>
                  </w:tcBorders>
                  <w:shd w:val="clear" w:color="auto" w:fill="auto"/>
                  <w:noWrap/>
                  <w:vAlign w:val="center"/>
                </w:tcPr>
                <w:p w14:paraId="428B6726">
                  <w:pPr>
                    <w:keepNext w:val="0"/>
                    <w:keepLines w:val="0"/>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加快推进使用高污染燃料工业炉窑清洁低碳能源替代，2026年底前，使用煤、兰炭、焦炭、石油焦、渣油、重油等燃料的石灰煅烧窑、岩矿棉熔炼炉等工业炉窑改为使用电厂热力、工业余热或清洁低碳能源</w:t>
                  </w:r>
                  <w:r>
                    <w:rPr>
                      <w:rFonts w:hint="eastAsia" w:ascii="Times New Roman" w:hAnsi="Times New Roman" w:cs="Times New Roman"/>
                      <w:bCs/>
                      <w:color w:val="auto"/>
                      <w:sz w:val="21"/>
                      <w:szCs w:val="21"/>
                      <w:highlight w:val="none"/>
                      <w:lang w:val="en-US" w:eastAsia="zh-CN"/>
                    </w:rPr>
                    <w:t>；</w:t>
                  </w:r>
                  <w:r>
                    <w:rPr>
                      <w:rFonts w:hint="default" w:ascii="Times New Roman" w:hAnsi="Times New Roman" w:cs="Times New Roman"/>
                      <w:bCs/>
                      <w:color w:val="auto"/>
                      <w:sz w:val="21"/>
                      <w:szCs w:val="21"/>
                      <w:highlight w:val="none"/>
                      <w:lang w:val="en-US" w:eastAsia="zh-CN"/>
                    </w:rPr>
                    <w:t>淘汰退出7台燃油锅炉。</w:t>
                  </w:r>
                </w:p>
              </w:tc>
              <w:tc>
                <w:tcPr>
                  <w:tcW w:w="2204" w:type="dxa"/>
                  <w:tcBorders>
                    <w:top w:val="single" w:color="auto" w:sz="4" w:space="0"/>
                  </w:tcBorders>
                  <w:shd w:val="clear" w:color="auto" w:fill="auto"/>
                  <w:noWrap/>
                  <w:vAlign w:val="center"/>
                </w:tcPr>
                <w:p w14:paraId="0F45F52D">
                  <w:pPr>
                    <w:keepNext w:val="0"/>
                    <w:keepLines w:val="0"/>
                    <w:pageBreakBefore w:val="0"/>
                    <w:widowControl w:val="0"/>
                    <w:suppressLineNumbers w:val="0"/>
                    <w:kinsoku/>
                    <w:wordWrap/>
                    <w:topLinePunct w:val="0"/>
                    <w:bidi w:val="0"/>
                    <w:spacing w:before="0" w:beforeAutospacing="0" w:after="0" w:afterAutospacing="0" w:line="240" w:lineRule="auto"/>
                    <w:ind w:left="0" w:leftChars="0" w:right="0" w:rightChars="0" w:firstLine="0" w:firstLineChars="0"/>
                    <w:jc w:val="both"/>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cs="Times New Roman" w:eastAsiaTheme="minorEastAsia"/>
                      <w:b w:val="0"/>
                      <w:bCs w:val="0"/>
                      <w:color w:val="auto"/>
                      <w:sz w:val="21"/>
                      <w:szCs w:val="21"/>
                      <w:highlight w:val="none"/>
                      <w:lang w:val="en-US" w:eastAsia="zh-CN"/>
                    </w:rPr>
                    <w:t>本项目生产过程中不涉及锅炉及炉窑的使用。</w:t>
                  </w:r>
                </w:p>
              </w:tc>
              <w:tc>
                <w:tcPr>
                  <w:tcW w:w="538" w:type="dxa"/>
                  <w:tcBorders>
                    <w:top w:val="single" w:color="auto" w:sz="4" w:space="0"/>
                  </w:tcBorders>
                  <w:shd w:val="clear" w:color="auto" w:fill="auto"/>
                  <w:noWrap/>
                  <w:vAlign w:val="center"/>
                </w:tcPr>
                <w:p w14:paraId="3944CDD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相符</w:t>
                  </w:r>
                </w:p>
              </w:tc>
            </w:tr>
            <w:tr w14:paraId="7C98CC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8" w:type="dxa"/>
                  <w:tcBorders>
                    <w:top w:val="single" w:color="auto" w:sz="4" w:space="0"/>
                    <w:bottom w:val="single" w:color="auto" w:sz="4" w:space="0"/>
                  </w:tcBorders>
                  <w:shd w:val="clear" w:color="auto" w:fill="auto"/>
                  <w:noWrap/>
                  <w:vAlign w:val="center"/>
                </w:tcPr>
                <w:p w14:paraId="6E9B162D">
                  <w:pPr>
                    <w:keepNext w:val="0"/>
                    <w:keepLines w:val="0"/>
                    <w:suppressLineNumbers w:val="0"/>
                    <w:adjustRightInd w:val="0"/>
                    <w:snapToGrid w:val="0"/>
                    <w:spacing w:before="0" w:beforeAutospacing="0" w:after="0" w:afterAutospacing="0"/>
                    <w:ind w:left="0" w:leftChars="0" w:right="0" w:rightChars="0"/>
                    <w:jc w:val="center"/>
                    <w:textAlignment w:val="baseline"/>
                    <w:rPr>
                      <w:rFonts w:hint="eastAsia"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15、推动重点行业企业环境绩效等级提升</w:t>
                  </w:r>
                </w:p>
              </w:tc>
              <w:tc>
                <w:tcPr>
                  <w:tcW w:w="4135" w:type="dxa"/>
                  <w:tcBorders>
                    <w:top w:val="single" w:color="auto" w:sz="4" w:space="0"/>
                    <w:bottom w:val="single" w:color="auto" w:sz="4" w:space="0"/>
                  </w:tcBorders>
                  <w:shd w:val="clear" w:color="auto" w:fill="auto"/>
                  <w:noWrap/>
                  <w:vAlign w:val="center"/>
                </w:tcPr>
                <w:p w14:paraId="6502851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聚焦火电、垃圾发电、水泥熟料、煤制氮肥、耐火材料、日用玻璃、烧结砖瓦、砂石骨料、炭素、铸造、石灰窑及商砼(沥青)搅拌站等重点行业，按照“轻重缓急”原则，建立梯度化培育提升清单。对照绩效分级技术指南，编制“一企一策”提标改造方案，强化全过程监督帮扶指导。2026年底，全市创建A、B级及绩效引领性企业50家，其中A级企业不少于8家。严格按照国家和省级相关政策规定，在项目审批、环保税减免、资金奖补、差别化电价等方面给予支持，充分发挥标杆企业示范引领作用。</w:t>
                  </w:r>
                </w:p>
              </w:tc>
              <w:tc>
                <w:tcPr>
                  <w:tcW w:w="2204" w:type="dxa"/>
                  <w:tcBorders>
                    <w:top w:val="single" w:color="auto" w:sz="4" w:space="0"/>
                    <w:bottom w:val="single" w:color="auto" w:sz="4" w:space="0"/>
                  </w:tcBorders>
                  <w:shd w:val="clear" w:color="auto" w:fill="auto"/>
                  <w:noWrap/>
                  <w:vAlign w:val="center"/>
                </w:tcPr>
                <w:p w14:paraId="477B8707">
                  <w:pPr>
                    <w:keepNext w:val="0"/>
                    <w:keepLines w:val="0"/>
                    <w:pageBreakBefore w:val="0"/>
                    <w:widowControl w:val="0"/>
                    <w:suppressLineNumbers w:val="0"/>
                    <w:kinsoku/>
                    <w:wordWrap/>
                    <w:topLinePunct w:val="0"/>
                    <w:bidi w:val="0"/>
                    <w:spacing w:before="0" w:beforeAutospacing="0" w:after="0" w:afterAutospacing="0" w:line="240" w:lineRule="auto"/>
                    <w:ind w:left="0" w:leftChars="0" w:right="0" w:rightChars="0" w:firstLine="0" w:firstLineChars="0"/>
                    <w:jc w:val="both"/>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本项目属于</w:t>
                  </w:r>
                  <w:r>
                    <w:rPr>
                      <w:rFonts w:hint="eastAsia"/>
                      <w:color w:val="auto"/>
                      <w:szCs w:val="21"/>
                      <w:lang w:val="en-US" w:eastAsia="zh-CN"/>
                    </w:rPr>
                    <w:t>镍氢电池制造行业，为</w:t>
                  </w:r>
                  <w:r>
                    <w:rPr>
                      <w:rFonts w:hint="eastAsia" w:ascii="Times New Roman" w:hAnsi="Times New Roman" w:cs="Times New Roman"/>
                      <w:b w:val="0"/>
                      <w:bCs w:val="0"/>
                      <w:color w:val="auto"/>
                      <w:sz w:val="21"/>
                      <w:szCs w:val="21"/>
                      <w:highlight w:val="none"/>
                      <w:lang w:val="en-US" w:eastAsia="zh-CN"/>
                    </w:rPr>
                    <w:t>新建类项目，环评要求企业在建设过程中全部按照A级绩效要求进行建设生产。</w:t>
                  </w:r>
                </w:p>
              </w:tc>
              <w:tc>
                <w:tcPr>
                  <w:tcW w:w="538" w:type="dxa"/>
                  <w:tcBorders>
                    <w:top w:val="single" w:color="auto" w:sz="4" w:space="0"/>
                    <w:bottom w:val="single" w:color="auto" w:sz="4" w:space="0"/>
                  </w:tcBorders>
                  <w:shd w:val="clear" w:color="auto" w:fill="auto"/>
                  <w:noWrap/>
                  <w:vAlign w:val="center"/>
                </w:tcPr>
                <w:p w14:paraId="386618F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kern w:val="2"/>
                      <w:sz w:val="21"/>
                      <w:szCs w:val="21"/>
                      <w:highlight w:val="none"/>
                      <w:lang w:val="en-US" w:eastAsia="zh-CN" w:bidi="ar-SA"/>
                    </w:rPr>
                    <w:t>相符</w:t>
                  </w:r>
                </w:p>
              </w:tc>
            </w:tr>
            <w:tr w14:paraId="4C2649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5" w:type="dxa"/>
                  <w:gridSpan w:val="4"/>
                  <w:tcBorders>
                    <w:top w:val="single" w:color="auto" w:sz="4" w:space="0"/>
                  </w:tcBorders>
                  <w:shd w:val="clear" w:color="auto" w:fill="auto"/>
                  <w:noWrap/>
                  <w:vAlign w:val="center"/>
                </w:tcPr>
                <w:p w14:paraId="1E116B0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
                    </w:rPr>
                    <w:t>《新乡市</w:t>
                  </w:r>
                  <w:r>
                    <w:rPr>
                      <w:rFonts w:hint="eastAsia" w:cs="Times New Roman"/>
                      <w:b/>
                      <w:bCs/>
                      <w:color w:val="auto"/>
                      <w:kern w:val="0"/>
                      <w:sz w:val="21"/>
                      <w:szCs w:val="21"/>
                      <w:highlight w:val="none"/>
                      <w:lang w:val="en-US" w:eastAsia="zh-CN" w:bidi="ar"/>
                    </w:rPr>
                    <w:t>2026</w:t>
                  </w:r>
                  <w:r>
                    <w:rPr>
                      <w:rFonts w:hint="default" w:ascii="Times New Roman" w:hAnsi="Times New Roman" w:eastAsia="宋体" w:cs="Times New Roman"/>
                      <w:b/>
                      <w:bCs/>
                      <w:color w:val="auto"/>
                      <w:kern w:val="0"/>
                      <w:sz w:val="21"/>
                      <w:szCs w:val="21"/>
                      <w:highlight w:val="none"/>
                      <w:lang w:val="en-US" w:eastAsia="zh-CN" w:bidi="ar"/>
                    </w:rPr>
                    <w:t>年碧水保卫战实施方案》</w:t>
                  </w:r>
                </w:p>
              </w:tc>
            </w:tr>
            <w:tr w14:paraId="3AB047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8" w:type="dxa"/>
                  <w:shd w:val="clear" w:color="auto" w:fill="auto"/>
                  <w:noWrap/>
                  <w:vAlign w:val="center"/>
                </w:tcPr>
                <w:p w14:paraId="66DFA71D">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17.严格防范水生态环境风险防控</w:t>
                  </w:r>
                </w:p>
              </w:tc>
              <w:tc>
                <w:tcPr>
                  <w:tcW w:w="4135" w:type="dxa"/>
                  <w:shd w:val="clear" w:color="auto" w:fill="auto"/>
                  <w:noWrap/>
                  <w:vAlign w:val="center"/>
                </w:tcPr>
                <w:p w14:paraId="0940301B">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rPr>
                    <w:t>以涉危涉重企业、工业园区为重点</w:t>
                  </w:r>
                  <w:r>
                    <w:rPr>
                      <w:rFonts w:hint="eastAsia" w:ascii="Times New Roman" w:hAnsi="Times New Roman" w:eastAsia="宋体" w:cs="Times New Roman"/>
                      <w:color w:val="auto"/>
                      <w:kern w:val="0"/>
                      <w:sz w:val="21"/>
                      <w:szCs w:val="21"/>
                      <w:highlight w:val="none"/>
                      <w:lang w:val="en-US" w:eastAsia="zh-CN"/>
                    </w:rPr>
                    <w:t>，全面排查相关企业危废、高浓废液的产生量、特征污染物，严格储存、转移、处置管理，严防非法倾倒和填埋现象发生；</w:t>
                  </w:r>
                  <w:r>
                    <w:rPr>
                      <w:rFonts w:hint="default" w:ascii="Times New Roman" w:hAnsi="Times New Roman" w:eastAsia="宋体" w:cs="Times New Roman"/>
                      <w:color w:val="auto"/>
                      <w:kern w:val="0"/>
                      <w:sz w:val="21"/>
                      <w:szCs w:val="21"/>
                      <w:highlight w:val="none"/>
                      <w:lang w:val="en-US" w:eastAsia="zh-CN"/>
                    </w:rPr>
                    <w:t>强化应急设施建设，通过建设事故调蓄池、应急闸坝等预防性设施，消除水环境安全隐患</w:t>
                  </w:r>
                  <w:r>
                    <w:rPr>
                      <w:rFonts w:hint="eastAsia" w:ascii="Times New Roman" w:hAnsi="Times New Roman" w:eastAsia="宋体" w:cs="Times New Roman"/>
                      <w:color w:val="auto"/>
                      <w:kern w:val="0"/>
                      <w:sz w:val="21"/>
                      <w:szCs w:val="21"/>
                      <w:highlight w:val="none"/>
                      <w:lang w:val="en-US" w:eastAsia="zh-CN"/>
                    </w:rPr>
                    <w:t>；有序推进化工园区环境应急三级防控体系建设；</w:t>
                  </w:r>
                  <w:r>
                    <w:rPr>
                      <w:rFonts w:hint="default" w:ascii="Times New Roman" w:hAnsi="Times New Roman" w:eastAsia="宋体" w:cs="Times New Roman"/>
                      <w:color w:val="auto"/>
                      <w:kern w:val="0"/>
                      <w:sz w:val="21"/>
                      <w:szCs w:val="21"/>
                      <w:highlight w:val="none"/>
                      <w:lang w:val="en-US" w:eastAsia="zh-CN"/>
                    </w:rPr>
                    <w:t>完善上下游水污染防治应急联动机制，避免发生跨界水污染事件</w:t>
                  </w:r>
                  <w:r>
                    <w:rPr>
                      <w:rFonts w:hint="eastAsia"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rPr>
                    <w:t>强化饮用水水源保护区、</w:t>
                  </w:r>
                  <w:r>
                    <w:rPr>
                      <w:rFonts w:hint="eastAsia" w:ascii="Times New Roman" w:hAnsi="Times New Roman" w:eastAsia="宋体" w:cs="Times New Roman"/>
                      <w:color w:val="auto"/>
                      <w:kern w:val="0"/>
                      <w:sz w:val="21"/>
                      <w:szCs w:val="21"/>
                      <w:highlight w:val="none"/>
                      <w:lang w:val="en-US" w:eastAsia="zh-CN"/>
                    </w:rPr>
                    <w:t>南水北调中线工程总干渠（新乡段）</w:t>
                  </w:r>
                  <w:r>
                    <w:rPr>
                      <w:rFonts w:hint="default" w:ascii="Times New Roman" w:hAnsi="Times New Roman" w:eastAsia="宋体" w:cs="Times New Roman"/>
                      <w:color w:val="auto"/>
                      <w:kern w:val="0"/>
                      <w:sz w:val="21"/>
                      <w:szCs w:val="21"/>
                      <w:highlight w:val="none"/>
                      <w:lang w:val="en-US" w:eastAsia="zh-CN"/>
                    </w:rPr>
                    <w:t>保护区以及其他敏感水体的“一废一品”监管</w:t>
                  </w:r>
                  <w:r>
                    <w:rPr>
                      <w:rFonts w:hint="eastAsia" w:ascii="Times New Roman" w:hAnsi="Times New Roman" w:eastAsia="宋体" w:cs="Times New Roman"/>
                      <w:color w:val="auto"/>
                      <w:kern w:val="0"/>
                      <w:sz w:val="21"/>
                      <w:szCs w:val="21"/>
                      <w:highlight w:val="none"/>
                      <w:lang w:val="en-US" w:eastAsia="zh-CN"/>
                    </w:rPr>
                    <w:t>；根据</w:t>
                  </w:r>
                  <w:r>
                    <w:rPr>
                      <w:rFonts w:hint="default" w:ascii="Times New Roman" w:hAnsi="Times New Roman" w:eastAsia="宋体" w:cs="Times New Roman"/>
                      <w:color w:val="auto"/>
                      <w:kern w:val="0"/>
                      <w:sz w:val="21"/>
                      <w:szCs w:val="21"/>
                      <w:highlight w:val="none"/>
                      <w:lang w:val="en-US" w:eastAsia="zh-CN"/>
                    </w:rPr>
                    <w:t>我市制定的</w:t>
                  </w:r>
                  <w:r>
                    <w:rPr>
                      <w:rFonts w:hint="eastAsia" w:ascii="Times New Roman" w:hAnsi="Times New Roman" w:eastAsia="宋体" w:cs="Times New Roman"/>
                      <w:color w:val="auto"/>
                      <w:kern w:val="0"/>
                      <w:sz w:val="21"/>
                      <w:szCs w:val="21"/>
                      <w:highlight w:val="none"/>
                      <w:lang w:val="en-US" w:eastAsia="zh-CN"/>
                    </w:rPr>
                    <w:t>卫河、共产主义渠、文岩渠、天然渠、人民胜利渠、西柳青河等</w:t>
                  </w:r>
                  <w:r>
                    <w:rPr>
                      <w:rFonts w:hint="default" w:ascii="Times New Roman" w:hAnsi="Times New Roman" w:eastAsia="宋体" w:cs="Times New Roman"/>
                      <w:color w:val="auto"/>
                      <w:kern w:val="0"/>
                      <w:sz w:val="21"/>
                      <w:szCs w:val="21"/>
                      <w:highlight w:val="none"/>
                      <w:lang w:val="en-US" w:eastAsia="zh-CN"/>
                    </w:rPr>
                    <w:t>重点河流“一河一策一图”应急处置方案，开展应急演练，提升突发环境事件应急处置能力</w:t>
                  </w:r>
                  <w:r>
                    <w:rPr>
                      <w:rFonts w:hint="eastAsia"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rPr>
                    <w:t>加强汛期有关部门联防联控，</w:t>
                  </w:r>
                  <w:r>
                    <w:rPr>
                      <w:rFonts w:hint="eastAsia" w:ascii="Times New Roman" w:hAnsi="Times New Roman" w:eastAsia="宋体" w:cs="Times New Roman"/>
                      <w:color w:val="auto"/>
                      <w:kern w:val="0"/>
                      <w:sz w:val="21"/>
                      <w:szCs w:val="21"/>
                      <w:highlight w:val="none"/>
                      <w:lang w:val="en-US" w:eastAsia="zh-CN"/>
                    </w:rPr>
                    <w:t>严格落实排水闸门管理机制，</w:t>
                  </w:r>
                  <w:r>
                    <w:rPr>
                      <w:rFonts w:hint="default" w:ascii="Times New Roman" w:hAnsi="Times New Roman" w:eastAsia="宋体" w:cs="Times New Roman"/>
                      <w:color w:val="auto"/>
                      <w:kern w:val="0"/>
                      <w:sz w:val="21"/>
                      <w:szCs w:val="21"/>
                      <w:highlight w:val="none"/>
                      <w:lang w:val="en-US" w:eastAsia="zh-CN"/>
                    </w:rPr>
                    <w:t>防范汛期水环境风险。</w:t>
                  </w:r>
                </w:p>
              </w:tc>
              <w:tc>
                <w:tcPr>
                  <w:tcW w:w="2204" w:type="dxa"/>
                  <w:shd w:val="clear" w:color="auto" w:fill="auto"/>
                  <w:noWrap/>
                  <w:vAlign w:val="center"/>
                </w:tcPr>
                <w:p w14:paraId="1261538B">
                  <w:pPr>
                    <w:keepNext w:val="0"/>
                    <w:keepLines w:val="0"/>
                    <w:pageBreakBefore w:val="0"/>
                    <w:widowControl w:val="0"/>
                    <w:suppressLineNumbers w:val="0"/>
                    <w:kinsoku/>
                    <w:wordWrap/>
                    <w:topLinePunct w:val="0"/>
                    <w:bidi w:val="0"/>
                    <w:spacing w:before="0" w:beforeAutospacing="0" w:after="0" w:afterAutospacing="0" w:line="240" w:lineRule="auto"/>
                    <w:ind w:left="0" w:leftChars="0" w:right="0" w:rightChars="0" w:firstLine="0" w:firstLineChars="0"/>
                    <w:jc w:val="both"/>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本项目运营过程中不涉及生产废水的产生及排放，生活污水经厂区化粪池处理后，定期清运不外排。</w:t>
                  </w:r>
                </w:p>
              </w:tc>
              <w:tc>
                <w:tcPr>
                  <w:tcW w:w="538" w:type="dxa"/>
                  <w:shd w:val="clear" w:color="auto" w:fill="auto"/>
                  <w:noWrap/>
                  <w:vAlign w:val="center"/>
                </w:tcPr>
                <w:p w14:paraId="30C9E10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相符</w:t>
                  </w:r>
                </w:p>
              </w:tc>
            </w:tr>
            <w:tr w14:paraId="0020BC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5" w:type="dxa"/>
                  <w:gridSpan w:val="4"/>
                  <w:shd w:val="clear" w:color="auto" w:fill="auto"/>
                  <w:noWrap/>
                  <w:vAlign w:val="center"/>
                </w:tcPr>
                <w:p w14:paraId="244D9E5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eastAsia="宋体" w:cs="Times New Roman"/>
                      <w:b/>
                      <w:bCs/>
                      <w:color w:val="auto"/>
                      <w:kern w:val="0"/>
                      <w:sz w:val="21"/>
                      <w:szCs w:val="21"/>
                      <w:highlight w:val="none"/>
                      <w:lang w:val="en-US" w:eastAsia="zh-CN" w:bidi="ar"/>
                    </w:rPr>
                    <w:t>《新乡市</w:t>
                  </w:r>
                  <w:r>
                    <w:rPr>
                      <w:rFonts w:hint="eastAsia" w:cs="Times New Roman"/>
                      <w:b/>
                      <w:bCs/>
                      <w:color w:val="auto"/>
                      <w:kern w:val="0"/>
                      <w:sz w:val="21"/>
                      <w:szCs w:val="21"/>
                      <w:highlight w:val="none"/>
                      <w:lang w:val="en-US" w:eastAsia="zh-CN" w:bidi="ar"/>
                    </w:rPr>
                    <w:t>2026</w:t>
                  </w:r>
                  <w:r>
                    <w:rPr>
                      <w:rFonts w:hint="default" w:ascii="Times New Roman" w:hAnsi="Times New Roman" w:eastAsia="宋体" w:cs="Times New Roman"/>
                      <w:b/>
                      <w:bCs/>
                      <w:color w:val="auto"/>
                      <w:kern w:val="0"/>
                      <w:sz w:val="21"/>
                      <w:szCs w:val="21"/>
                      <w:highlight w:val="none"/>
                      <w:lang w:val="en-US" w:eastAsia="zh-CN" w:bidi="ar"/>
                    </w:rPr>
                    <w:t>年净土保卫战实施方案》</w:t>
                  </w:r>
                </w:p>
              </w:tc>
            </w:tr>
            <w:tr w14:paraId="679443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8" w:type="dxa"/>
                  <w:shd w:val="clear" w:color="auto" w:fill="auto"/>
                  <w:noWrap/>
                  <w:vAlign w:val="center"/>
                </w:tcPr>
                <w:p w14:paraId="2F69D1A4">
                  <w:pPr>
                    <w:keepNext w:val="0"/>
                    <w:keepLines w:val="0"/>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cs="Times New Roman" w:eastAsiaTheme="minorEastAsia"/>
                      <w:b w:val="0"/>
                      <w:bCs w:val="0"/>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3.严格建设用地准入管理</w:t>
                  </w:r>
                </w:p>
              </w:tc>
              <w:tc>
                <w:tcPr>
                  <w:tcW w:w="4135" w:type="dxa"/>
                  <w:shd w:val="clear" w:color="auto" w:fill="auto"/>
                  <w:noWrap/>
                  <w:vAlign w:val="center"/>
                </w:tcPr>
                <w:p w14:paraId="3F1F2BD1">
                  <w:pPr>
                    <w:keepNext w:val="0"/>
                    <w:keepLines w:val="0"/>
                    <w:widowControl/>
                    <w:suppressLineNumbers w:val="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资源规划部门强化对土地用途变更、收储、供应、使用权变更等环节的监管，依法应当开展土壤污染状况调查的地块须在土地储备入库前完成调查，将调查结果作为土地供应的必备要件。生态环境部门做好土壤污染状况调查报告审查工作，加强土壤污染状况调查从业单位的信用管理，组织开展半年、年度建设用地安全利用核算。</w:t>
                  </w:r>
                </w:p>
              </w:tc>
              <w:tc>
                <w:tcPr>
                  <w:tcW w:w="2204" w:type="dxa"/>
                  <w:shd w:val="clear" w:color="auto" w:fill="auto"/>
                  <w:noWrap/>
                  <w:vAlign w:val="center"/>
                </w:tcPr>
                <w:p w14:paraId="015CE791">
                  <w:pPr>
                    <w:keepNext w:val="0"/>
                    <w:keepLines w:val="0"/>
                    <w:pageBreakBefore w:val="0"/>
                    <w:widowControl w:val="0"/>
                    <w:suppressLineNumbers w:val="0"/>
                    <w:kinsoku/>
                    <w:wordWrap/>
                    <w:topLinePunct w:val="0"/>
                    <w:bidi w:val="0"/>
                    <w:spacing w:before="0" w:beforeAutospacing="0" w:after="0" w:afterAutospacing="0" w:line="240" w:lineRule="auto"/>
                    <w:ind w:left="0" w:leftChars="0" w:right="0" w:rightChars="0" w:firstLine="0" w:firstLineChars="0"/>
                    <w:jc w:val="both"/>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本项目建设地点位</w:t>
                  </w:r>
                  <w:r>
                    <w:rPr>
                      <w:rFonts w:hint="eastAsia" w:ascii="Times New Roman" w:hAnsi="Times New Roman" w:eastAsia="宋体" w:cs="Times New Roman"/>
                      <w:b w:val="0"/>
                      <w:bCs w:val="0"/>
                      <w:color w:val="auto"/>
                      <w:kern w:val="2"/>
                      <w:sz w:val="21"/>
                      <w:szCs w:val="21"/>
                      <w:highlight w:val="none"/>
                      <w:lang w:val="en-US" w:eastAsia="zh-CN" w:bidi="ar-SA"/>
                    </w:rPr>
                    <w:t>于河南省新乡市延津县石婆固乡西秦庄村012号，根据《石婆固乡土地利用总体规划图》，项目占地性质符合规划。</w:t>
                  </w:r>
                </w:p>
              </w:tc>
              <w:tc>
                <w:tcPr>
                  <w:tcW w:w="538" w:type="dxa"/>
                  <w:shd w:val="clear" w:color="auto" w:fill="auto"/>
                  <w:noWrap/>
                  <w:vAlign w:val="center"/>
                </w:tcPr>
                <w:p w14:paraId="28F791F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相符</w:t>
                  </w:r>
                </w:p>
              </w:tc>
            </w:tr>
            <w:tr w14:paraId="7C7A62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5" w:type="dxa"/>
                  <w:gridSpan w:val="4"/>
                  <w:shd w:val="clear" w:color="auto" w:fill="auto"/>
                  <w:noWrap/>
                  <w:vAlign w:val="center"/>
                </w:tcPr>
                <w:p w14:paraId="75F3343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leftChars="0" w:right="63" w:rightChars="30"/>
                    <w:jc w:val="center"/>
                    <w:textAlignment w:val="baseline"/>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b/>
                      <w:bCs/>
                      <w:color w:val="auto"/>
                      <w:kern w:val="0"/>
                      <w:sz w:val="21"/>
                      <w:szCs w:val="21"/>
                      <w:highlight w:val="none"/>
                      <w:lang w:val="en-US" w:eastAsia="zh-CN" w:bidi="ar"/>
                    </w:rPr>
                    <w:t>《新乡市2026年柴油货车污染治理攻坚战实施方案》</w:t>
                  </w:r>
                </w:p>
              </w:tc>
            </w:tr>
            <w:tr w14:paraId="55E5B6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8" w:type="dxa"/>
                  <w:shd w:val="clear" w:color="auto" w:fill="auto"/>
                  <w:noWrap/>
                  <w:vAlign w:val="center"/>
                </w:tcPr>
                <w:p w14:paraId="67F6A2E3">
                  <w:pPr>
                    <w:keepNext w:val="0"/>
                    <w:keepLines w:val="0"/>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11.推动老旧非道路移动机械淘汰更新</w:t>
                  </w:r>
                </w:p>
              </w:tc>
              <w:tc>
                <w:tcPr>
                  <w:tcW w:w="4135" w:type="dxa"/>
                  <w:shd w:val="clear" w:color="auto" w:fill="auto"/>
                  <w:noWrap/>
                  <w:vAlign w:val="center"/>
                </w:tcPr>
                <w:p w14:paraId="681C619B">
                  <w:pPr>
                    <w:keepNext w:val="0"/>
                    <w:keepLines w:val="0"/>
                    <w:suppressLineNumbers w:val="0"/>
                    <w:adjustRightInd w:val="0"/>
                    <w:snapToGrid w:val="0"/>
                    <w:spacing w:before="0" w:beforeAutospacing="0" w:after="0" w:afterAutospacing="0"/>
                    <w:ind w:left="0" w:leftChars="0" w:right="0" w:rightChars="0"/>
                    <w:jc w:val="center"/>
                    <w:textAlignment w:val="baseline"/>
                    <w:rPr>
                      <w:rFonts w:hint="eastAsia"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Cs/>
                      <w:color w:val="auto"/>
                      <w:sz w:val="21"/>
                      <w:szCs w:val="21"/>
                      <w:highlight w:val="none"/>
                      <w:lang w:val="en-US" w:eastAsia="zh-CN"/>
                    </w:rPr>
                    <w:t>加快淘汰国二及以下排放标准非道路移动机械，重点行业企业、工业园区、产业集群、物流园区、施工工地、矿山新增或更新的厂内车辆和非道路移动机械原则上采用新能源。交通、住建、水利、自然资源等部门建立各自领域工程项目清单，工程推进过程中原则上使用国六排放标准或新能源车辆以及国四排放标准或新能源机械，其中新能源占比不低于20%。2026年底前，全市非道路移动机械纯电化率达到8%以上。</w:t>
                  </w:r>
                </w:p>
              </w:tc>
              <w:tc>
                <w:tcPr>
                  <w:tcW w:w="2204" w:type="dxa"/>
                  <w:shd w:val="clear" w:color="auto" w:fill="auto"/>
                  <w:noWrap/>
                  <w:vAlign w:val="center"/>
                </w:tcPr>
                <w:p w14:paraId="56206FFA">
                  <w:pPr>
                    <w:keepNext w:val="0"/>
                    <w:keepLines w:val="0"/>
                    <w:suppressLineNumbers w:val="0"/>
                    <w:adjustRightInd w:val="0"/>
                    <w:snapToGrid w:val="0"/>
                    <w:spacing w:before="0" w:beforeAutospacing="0" w:after="0" w:afterAutospacing="0"/>
                    <w:ind w:left="0" w:leftChars="0" w:right="0" w:rightChars="0"/>
                    <w:jc w:val="center"/>
                    <w:textAlignment w:val="baseline"/>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cs="Times New Roman"/>
                      <w:bCs/>
                      <w:color w:val="auto"/>
                      <w:sz w:val="21"/>
                      <w:szCs w:val="21"/>
                      <w:highlight w:val="none"/>
                      <w:lang w:val="en-US" w:eastAsia="zh-CN"/>
                    </w:rPr>
                    <w:t>本项目使用非道路移动机械均为</w:t>
                  </w:r>
                  <w:r>
                    <w:rPr>
                      <w:rFonts w:hint="default" w:ascii="Times New Roman" w:hAnsi="Times New Roman" w:cs="Times New Roman"/>
                      <w:bCs/>
                      <w:color w:val="auto"/>
                      <w:sz w:val="21"/>
                      <w:szCs w:val="21"/>
                      <w:highlight w:val="none"/>
                      <w:lang w:val="en-US" w:eastAsia="zh-CN"/>
                    </w:rPr>
                    <w:t>国二</w:t>
                  </w:r>
                  <w:r>
                    <w:rPr>
                      <w:rFonts w:hint="eastAsia" w:ascii="Times New Roman" w:hAnsi="Times New Roman" w:cs="Times New Roman"/>
                      <w:bCs/>
                      <w:color w:val="auto"/>
                      <w:sz w:val="21"/>
                      <w:szCs w:val="21"/>
                      <w:highlight w:val="none"/>
                      <w:lang w:val="en-US" w:eastAsia="zh-CN"/>
                    </w:rPr>
                    <w:t>以上</w:t>
                  </w:r>
                  <w:r>
                    <w:rPr>
                      <w:rFonts w:hint="default" w:ascii="Times New Roman" w:hAnsi="Times New Roman" w:cs="Times New Roman"/>
                      <w:bCs/>
                      <w:color w:val="auto"/>
                      <w:sz w:val="21"/>
                      <w:szCs w:val="21"/>
                      <w:highlight w:val="none"/>
                      <w:lang w:val="en-US" w:eastAsia="zh-CN"/>
                    </w:rPr>
                    <w:t>排放标准</w:t>
                  </w:r>
                  <w:r>
                    <w:rPr>
                      <w:rFonts w:hint="eastAsia" w:ascii="Times New Roman" w:hAnsi="Times New Roman" w:cs="Times New Roman"/>
                      <w:bCs/>
                      <w:color w:val="auto"/>
                      <w:sz w:val="21"/>
                      <w:szCs w:val="21"/>
                      <w:highlight w:val="none"/>
                      <w:lang w:val="en-US" w:eastAsia="zh-CN"/>
                    </w:rPr>
                    <w:t>及新能源车辆。</w:t>
                  </w:r>
                </w:p>
              </w:tc>
              <w:tc>
                <w:tcPr>
                  <w:tcW w:w="538" w:type="dxa"/>
                  <w:shd w:val="clear" w:color="auto" w:fill="auto"/>
                  <w:noWrap/>
                  <w:vAlign w:val="center"/>
                </w:tcPr>
                <w:p w14:paraId="5F10870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相符</w:t>
                  </w:r>
                </w:p>
              </w:tc>
            </w:tr>
            <w:tr w14:paraId="28155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88" w:type="dxa"/>
                  <w:tcBorders>
                    <w:bottom w:val="single" w:color="auto" w:sz="12" w:space="0"/>
                  </w:tcBorders>
                  <w:shd w:val="clear" w:color="auto" w:fill="auto"/>
                  <w:noWrap/>
                  <w:vAlign w:val="center"/>
                </w:tcPr>
                <w:p w14:paraId="2331C8E9">
                  <w:pPr>
                    <w:keepNext w:val="0"/>
                    <w:keepLines w:val="0"/>
                    <w:suppressLineNumbers w:val="0"/>
                    <w:adjustRightInd w:val="0"/>
                    <w:snapToGrid w:val="0"/>
                    <w:spacing w:before="0" w:beforeAutospacing="0" w:after="0" w:afterAutospacing="0"/>
                    <w:ind w:left="0" w:leftChars="0" w:right="0" w:rightChars="0"/>
                    <w:jc w:val="center"/>
                    <w:textAlignment w:val="baseline"/>
                    <w:rPr>
                      <w:rFonts w:hint="eastAsia" w:ascii="Times New Roman" w:hAnsi="Times New Roman" w:cs="Times New Roman"/>
                      <w:b w:val="0"/>
                      <w:bCs w:val="0"/>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16.强化门禁及视频监控系统管理</w:t>
                  </w:r>
                </w:p>
              </w:tc>
              <w:tc>
                <w:tcPr>
                  <w:tcW w:w="4135" w:type="dxa"/>
                  <w:tcBorders>
                    <w:bottom w:val="single" w:color="auto" w:sz="12" w:space="0"/>
                  </w:tcBorders>
                  <w:shd w:val="clear" w:color="auto" w:fill="auto"/>
                  <w:noWrap/>
                  <w:vAlign w:val="center"/>
                </w:tcPr>
                <w:p w14:paraId="29FDEDEE">
                  <w:pPr>
                    <w:keepNext w:val="0"/>
                    <w:keepLines w:val="0"/>
                    <w:suppressLineNumbers w:val="0"/>
                    <w:adjustRightInd w:val="0"/>
                    <w:snapToGrid w:val="0"/>
                    <w:spacing w:before="0" w:beforeAutospacing="0" w:after="0" w:afterAutospacing="0"/>
                    <w:ind w:left="0" w:leftChars="0" w:right="0" w:rightChars="0"/>
                    <w:jc w:val="center"/>
                    <w:textAlignment w:val="baseline"/>
                    <w:rPr>
                      <w:rFonts w:hint="eastAsia" w:ascii="Times New Roman" w:hAnsi="Times New Roman" w:cs="Times New Roman"/>
                      <w:b w:val="0"/>
                      <w:bCs w:val="0"/>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持续深化重点用车单位门禁监控及视频监控系统建设与应用，提升精细化监管水平。对年度日均载货车辆进出20辆次及以上、日运输量150吨以上的重点用车单位进行动态摸排，做到应装尽装、应联尽联。督促企业完善门禁系统管理制度，规范填报电子台账，如实记录进出厂时间、车型、排放阶段、燃油类型等信息，确保数据真实、完整、可追溯。加大平台巡检与现场核查力度，严查长期抬杆、违规手工抬杆、旁门豁口、异常离线等行为</w:t>
                  </w:r>
                  <w:r>
                    <w:rPr>
                      <w:rFonts w:hint="eastAsia" w:ascii="Times New Roman" w:hAnsi="Times New Roman" w:cs="Times New Roman"/>
                      <w:bCs/>
                      <w:color w:val="auto"/>
                      <w:sz w:val="21"/>
                      <w:szCs w:val="21"/>
                      <w:highlight w:val="none"/>
                      <w:lang w:val="en-US" w:eastAsia="zh-CN"/>
                    </w:rPr>
                    <w:t>；</w:t>
                  </w:r>
                  <w:r>
                    <w:rPr>
                      <w:rFonts w:hint="default" w:ascii="Times New Roman" w:hAnsi="Times New Roman" w:cs="Times New Roman"/>
                      <w:bCs/>
                      <w:color w:val="auto"/>
                      <w:sz w:val="21"/>
                      <w:szCs w:val="21"/>
                      <w:highlight w:val="none"/>
                      <w:lang w:val="en-US" w:eastAsia="zh-CN"/>
                    </w:rPr>
                    <w:t>对不规范使用门禁、达不到运输监管要求的绩效企业，实施动态管理。</w:t>
                  </w:r>
                </w:p>
              </w:tc>
              <w:tc>
                <w:tcPr>
                  <w:tcW w:w="2204" w:type="dxa"/>
                  <w:tcBorders>
                    <w:bottom w:val="single" w:color="auto" w:sz="12" w:space="0"/>
                  </w:tcBorders>
                  <w:shd w:val="clear" w:color="auto" w:fill="auto"/>
                  <w:noWrap/>
                  <w:vAlign w:val="center"/>
                </w:tcPr>
                <w:p w14:paraId="1C04414E">
                  <w:pPr>
                    <w:keepNext w:val="0"/>
                    <w:keepLines w:val="0"/>
                    <w:suppressLineNumbers w:val="0"/>
                    <w:adjustRightInd w:val="0"/>
                    <w:snapToGrid w:val="0"/>
                    <w:spacing w:before="0" w:beforeAutospacing="0" w:after="0" w:afterAutospacing="0"/>
                    <w:ind w:left="0" w:leftChars="0" w:right="0" w:rightChars="0"/>
                    <w:jc w:val="center"/>
                    <w:textAlignment w:val="baseline"/>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经查阅《重点行业移动源监管与核查技术指南》（HJ1321-2023），本项目不属于重点行业，同时不属于重点用车单位，应按照绩效分级要求安装车辆运输监控视频并保存6个月，同时建立</w:t>
                  </w:r>
                  <w:r>
                    <w:rPr>
                      <w:rFonts w:hint="eastAsia" w:cs="Times New Roman"/>
                      <w:color w:val="auto"/>
                      <w:sz w:val="21"/>
                      <w:szCs w:val="21"/>
                      <w:highlight w:val="none"/>
                      <w:lang w:val="en-US" w:eastAsia="zh-CN"/>
                    </w:rPr>
                    <w:t>车辆运输手工台账</w:t>
                  </w:r>
                </w:p>
              </w:tc>
              <w:tc>
                <w:tcPr>
                  <w:tcW w:w="538" w:type="dxa"/>
                  <w:tcBorders>
                    <w:bottom w:val="single" w:color="auto" w:sz="12" w:space="0"/>
                  </w:tcBorders>
                  <w:shd w:val="clear" w:color="auto" w:fill="auto"/>
                  <w:noWrap/>
                  <w:vAlign w:val="center"/>
                </w:tcPr>
                <w:p w14:paraId="4284DF6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63" w:leftChars="30" w:right="63" w:rightChars="30"/>
                    <w:jc w:val="center"/>
                    <w:textAlignment w:val="baseline"/>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相符</w:t>
                  </w:r>
                </w:p>
              </w:tc>
            </w:tr>
          </w:tbl>
          <w:p w14:paraId="50FF36E4">
            <w:pPr>
              <w:pStyle w:val="21"/>
              <w:keepNext w:val="0"/>
              <w:keepLines w:val="0"/>
              <w:pageBreakBefore w:val="0"/>
              <w:widowControl w:val="0"/>
              <w:kinsoku/>
              <w:wordWrap/>
              <w:overflowPunct/>
              <w:topLinePunct w:val="0"/>
              <w:bidi w:val="0"/>
              <w:spacing w:before="157" w:beforeLines="50" w:line="360" w:lineRule="auto"/>
              <w:ind w:firstLine="480" w:firstLineChars="200"/>
              <w:rPr>
                <w:rFonts w:hint="eastAsia"/>
                <w:color w:val="auto"/>
                <w:sz w:val="24"/>
                <w:szCs w:val="24"/>
                <w:highlight w:val="none"/>
              </w:rPr>
            </w:pPr>
            <w:r>
              <w:rPr>
                <w:rFonts w:hint="eastAsia"/>
                <w:color w:val="auto"/>
                <w:sz w:val="24"/>
                <w:szCs w:val="24"/>
                <w:highlight w:val="none"/>
              </w:rPr>
              <w:t>由上表可知，本项目符合《新乡市2026年蓝天保卫战实施方案》（新环委办【2026】18号）、《新乡市2026年碧水保卫战实施方案》、《新乡市2026年净土保卫战实施方案》（新环委办【2026】20号）、《新乡市2026年柴油货车污染治理攻坚战实施方案》的通知（新环委办【2026】21号）中的相关要求。</w:t>
            </w:r>
          </w:p>
          <w:p w14:paraId="7C571DCF">
            <w:pPr>
              <w:pStyle w:val="21"/>
              <w:keepNext w:val="0"/>
              <w:keepLines w:val="0"/>
              <w:pageBreakBefore w:val="0"/>
              <w:widowControl w:val="0"/>
              <w:kinsoku/>
              <w:wordWrap/>
              <w:overflowPunct/>
              <w:topLinePunct w:val="0"/>
              <w:bidi w:val="0"/>
              <w:spacing w:before="157" w:beforeLines="50" w:line="360" w:lineRule="auto"/>
              <w:ind w:firstLine="482" w:firstLineChars="200"/>
              <w:rPr>
                <w:rFonts w:ascii="Times New Roman" w:hAnsi="宋体" w:cs="Times New Roman"/>
                <w:b/>
                <w:bCs/>
                <w:color w:val="auto"/>
                <w:sz w:val="24"/>
                <w:highlight w:val="none"/>
              </w:rPr>
            </w:pPr>
            <w:r>
              <w:rPr>
                <w:rFonts w:hint="eastAsia" w:ascii="Times New Roman" w:hAnsi="Times New Roman" w:cs="Times New Roman"/>
                <w:b/>
                <w:bCs/>
                <w:color w:val="auto"/>
                <w:sz w:val="24"/>
                <w:highlight w:val="none"/>
                <w:lang w:val="en-US" w:eastAsia="zh-CN"/>
              </w:rPr>
              <w:t>6</w:t>
            </w:r>
            <w:r>
              <w:rPr>
                <w:rFonts w:ascii="Times New Roman" w:hAnsi="宋体" w:cs="Times New Roman"/>
                <w:b/>
                <w:bCs/>
                <w:color w:val="auto"/>
                <w:sz w:val="24"/>
                <w:highlight w:val="none"/>
              </w:rPr>
              <w:t>、本项目与《</w:t>
            </w:r>
            <w:r>
              <w:rPr>
                <w:rFonts w:hint="eastAsia" w:ascii="Times New Roman" w:hAnsi="宋体" w:cs="Times New Roman"/>
                <w:b/>
                <w:bCs/>
                <w:color w:val="auto"/>
                <w:sz w:val="24"/>
                <w:highlight w:val="none"/>
              </w:rPr>
              <w:t>河南省重污染天气</w:t>
            </w:r>
            <w:r>
              <w:rPr>
                <w:rFonts w:hint="eastAsia" w:ascii="Times New Roman" w:hAnsi="宋体" w:cs="Times New Roman"/>
                <w:b/>
                <w:bCs/>
                <w:color w:val="auto"/>
                <w:sz w:val="24"/>
                <w:highlight w:val="none"/>
                <w:lang w:val="en-US" w:eastAsia="zh-CN"/>
              </w:rPr>
              <w:t>重点行业</w:t>
            </w:r>
            <w:r>
              <w:rPr>
                <w:rFonts w:hint="eastAsia" w:ascii="Times New Roman" w:hAnsi="宋体" w:cs="Times New Roman"/>
                <w:b/>
                <w:bCs/>
                <w:color w:val="auto"/>
                <w:sz w:val="24"/>
                <w:highlight w:val="none"/>
              </w:rPr>
              <w:t>应急减排措施制定技术指南</w:t>
            </w:r>
            <w:r>
              <w:rPr>
                <w:rFonts w:ascii="Times New Roman" w:hAnsi="宋体" w:cs="Times New Roman"/>
                <w:b/>
                <w:bCs/>
                <w:color w:val="auto"/>
                <w:sz w:val="24"/>
                <w:highlight w:val="none"/>
              </w:rPr>
              <w:t>》</w:t>
            </w:r>
            <w:r>
              <w:rPr>
                <w:rFonts w:hint="eastAsia" w:ascii="Times New Roman" w:hAnsi="宋体" w:cs="Times New Roman"/>
                <w:b/>
                <w:bCs/>
                <w:color w:val="auto"/>
                <w:sz w:val="24"/>
                <w:highlight w:val="none"/>
              </w:rPr>
              <w:t>（</w:t>
            </w:r>
            <w:r>
              <w:rPr>
                <w:rFonts w:hint="eastAsia" w:ascii="Times New Roman" w:hAnsi="宋体" w:cs="Times New Roman"/>
                <w:b/>
                <w:bCs/>
                <w:color w:val="auto"/>
                <w:sz w:val="24"/>
                <w:highlight w:val="none"/>
                <w:lang w:val="en-US" w:eastAsia="zh-CN"/>
              </w:rPr>
              <w:t>2024</w:t>
            </w:r>
            <w:r>
              <w:rPr>
                <w:rFonts w:hint="eastAsia" w:ascii="Times New Roman" w:hAnsi="宋体" w:cs="Times New Roman"/>
                <w:b/>
                <w:bCs/>
                <w:color w:val="auto"/>
                <w:sz w:val="24"/>
                <w:highlight w:val="none"/>
              </w:rPr>
              <w:t>年修订版）</w:t>
            </w:r>
            <w:r>
              <w:rPr>
                <w:rFonts w:ascii="Times New Roman" w:hAnsi="宋体" w:cs="Times New Roman"/>
                <w:b/>
                <w:bCs/>
                <w:color w:val="auto"/>
                <w:sz w:val="24"/>
                <w:highlight w:val="none"/>
              </w:rPr>
              <w:t>对照分析</w:t>
            </w:r>
          </w:p>
          <w:p w14:paraId="4CF58A20">
            <w:pPr>
              <w:pStyle w:val="21"/>
              <w:keepNext w:val="0"/>
              <w:keepLines w:val="0"/>
              <w:pageBreakBefore w:val="0"/>
              <w:widowControl w:val="0"/>
              <w:kinsoku/>
              <w:wordWrap/>
              <w:overflowPunct/>
              <w:topLinePunct w:val="0"/>
              <w:bidi w:val="0"/>
              <w:spacing w:before="157" w:beforeLines="50" w:line="360" w:lineRule="auto"/>
              <w:ind w:firstLine="480" w:firstLineChars="200"/>
              <w:rPr>
                <w:rFonts w:ascii="Times New Roman" w:hAnsi="宋体" w:cs="Times New Roman"/>
                <w:color w:val="auto"/>
                <w:sz w:val="24"/>
                <w:lang w:val="pt-BR"/>
              </w:rPr>
            </w:pPr>
            <w:r>
              <w:rPr>
                <w:rFonts w:ascii="Times New Roman" w:hAnsi="宋体" w:cs="Times New Roman"/>
                <w:color w:val="auto"/>
                <w:sz w:val="24"/>
              </w:rPr>
              <w:t>本项目为</w:t>
            </w:r>
            <w:r>
              <w:rPr>
                <w:rFonts w:hint="eastAsia" w:ascii="Times New Roman" w:hAnsi="宋体" w:cs="Times New Roman"/>
                <w:color w:val="auto"/>
                <w:sz w:val="24"/>
                <w:lang w:val="en-US" w:eastAsia="zh-CN"/>
              </w:rPr>
              <w:t>镍氢电池制造行业</w:t>
            </w:r>
            <w:r>
              <w:rPr>
                <w:rFonts w:ascii="Times New Roman" w:hAnsi="宋体" w:cs="Times New Roman"/>
                <w:color w:val="auto"/>
                <w:sz w:val="24"/>
                <w:lang w:val="pt-BR"/>
              </w:rPr>
              <w:t>，本项目与《</w:t>
            </w:r>
            <w:r>
              <w:rPr>
                <w:rFonts w:hint="eastAsia" w:ascii="Times New Roman" w:hAnsi="宋体" w:cs="Times New Roman"/>
                <w:color w:val="auto"/>
                <w:sz w:val="24"/>
                <w:lang w:val="pt-BR"/>
              </w:rPr>
              <w:t>河南省重污染天气</w:t>
            </w:r>
            <w:r>
              <w:rPr>
                <w:rFonts w:hint="eastAsia" w:ascii="Times New Roman" w:hAnsi="宋体" w:cs="Times New Roman"/>
                <w:color w:val="auto"/>
                <w:sz w:val="24"/>
                <w:lang w:val="en-US" w:eastAsia="zh-CN"/>
              </w:rPr>
              <w:t>重点行业</w:t>
            </w:r>
            <w:r>
              <w:rPr>
                <w:rFonts w:hint="eastAsia" w:ascii="Times New Roman" w:hAnsi="宋体" w:cs="Times New Roman"/>
                <w:color w:val="auto"/>
                <w:sz w:val="24"/>
                <w:lang w:val="pt-BR"/>
              </w:rPr>
              <w:t>应急减排措施制定技术指南</w:t>
            </w:r>
            <w:r>
              <w:rPr>
                <w:rFonts w:ascii="Times New Roman" w:hAnsi="宋体" w:cs="Times New Roman"/>
                <w:color w:val="auto"/>
                <w:sz w:val="24"/>
                <w:lang w:val="pt-BR"/>
              </w:rPr>
              <w:t>》</w:t>
            </w:r>
            <w:r>
              <w:rPr>
                <w:rFonts w:hint="eastAsia" w:ascii="Times New Roman" w:hAnsi="宋体" w:cs="Times New Roman"/>
                <w:color w:val="auto"/>
                <w:sz w:val="24"/>
                <w:lang w:val="pt-BR"/>
              </w:rPr>
              <w:t>（</w:t>
            </w:r>
            <w:r>
              <w:rPr>
                <w:rFonts w:hint="eastAsia" w:ascii="Times New Roman" w:hAnsi="宋体" w:cs="Times New Roman"/>
                <w:color w:val="auto"/>
                <w:sz w:val="24"/>
                <w:lang w:val="en-US" w:eastAsia="zh-CN"/>
              </w:rPr>
              <w:t>2024</w:t>
            </w:r>
            <w:r>
              <w:rPr>
                <w:rFonts w:hint="eastAsia" w:ascii="Times New Roman" w:hAnsi="宋体" w:cs="Times New Roman"/>
                <w:color w:val="auto"/>
                <w:sz w:val="24"/>
                <w:lang w:val="pt-BR"/>
              </w:rPr>
              <w:t>年修订版）</w:t>
            </w:r>
            <w:r>
              <w:rPr>
                <w:rFonts w:ascii="Times New Roman" w:hAnsi="宋体" w:cs="Times New Roman"/>
                <w:color w:val="auto"/>
                <w:sz w:val="24"/>
                <w:lang w:val="pt-BR"/>
              </w:rPr>
              <w:t>中</w:t>
            </w:r>
            <w:r>
              <w:rPr>
                <w:rFonts w:hint="eastAsia" w:ascii="Times New Roman" w:hAnsi="宋体" w:cs="Times New Roman"/>
                <w:color w:val="auto"/>
                <w:sz w:val="24"/>
                <w:lang w:val="pt-BR"/>
              </w:rPr>
              <w:t>-</w:t>
            </w:r>
            <w:r>
              <w:rPr>
                <w:rFonts w:hint="eastAsia" w:ascii="Times New Roman" w:hAnsi="宋体" w:cs="Times New Roman"/>
                <w:color w:val="auto"/>
                <w:sz w:val="24"/>
                <w:lang w:val="en-US" w:eastAsia="zh-CN"/>
              </w:rPr>
              <w:t>电池</w:t>
            </w:r>
            <w:r>
              <w:rPr>
                <w:rFonts w:hint="eastAsia" w:ascii="Times New Roman" w:hAnsi="宋体" w:cs="Times New Roman"/>
                <w:color w:val="auto"/>
                <w:sz w:val="24"/>
                <w:lang w:val="pt-BR"/>
              </w:rPr>
              <w:t>制造行业</w:t>
            </w:r>
            <w:r>
              <w:rPr>
                <w:rFonts w:ascii="Times New Roman" w:hAnsi="宋体" w:cs="Times New Roman"/>
                <w:color w:val="auto"/>
                <w:sz w:val="24"/>
                <w:lang w:val="pt-BR"/>
              </w:rPr>
              <w:t>A</w:t>
            </w:r>
            <w:r>
              <w:rPr>
                <w:rFonts w:hint="eastAsia" w:ascii="Times New Roman" w:hAnsi="宋体" w:cs="Times New Roman"/>
                <w:color w:val="auto"/>
                <w:sz w:val="24"/>
                <w:lang w:val="pt-BR"/>
              </w:rPr>
              <w:t>级</w:t>
            </w:r>
            <w:r>
              <w:rPr>
                <w:rFonts w:hint="default" w:ascii="Times New Roman" w:hAnsi="宋体" w:cs="Times New Roman"/>
                <w:color w:val="auto"/>
                <w:sz w:val="24"/>
                <w:lang w:val="pt-BR"/>
              </w:rPr>
              <w:t>进行评价</w:t>
            </w:r>
            <w:r>
              <w:rPr>
                <w:rFonts w:hint="eastAsia" w:ascii="Times New Roman" w:hAnsi="宋体" w:cs="Times New Roman"/>
                <w:color w:val="auto"/>
                <w:sz w:val="24"/>
                <w:lang w:val="pt-BR" w:eastAsia="zh-CN"/>
              </w:rPr>
              <w:t>，</w:t>
            </w:r>
            <w:r>
              <w:rPr>
                <w:rFonts w:hint="eastAsia" w:ascii="Times New Roman" w:hAnsi="宋体" w:cs="Times New Roman"/>
                <w:color w:val="auto"/>
                <w:sz w:val="24"/>
                <w:lang w:val="en-US" w:eastAsia="zh-CN"/>
              </w:rPr>
              <w:t>对照分析见下表</w:t>
            </w:r>
            <w:r>
              <w:rPr>
                <w:rFonts w:ascii="Times New Roman" w:hAnsi="宋体" w:cs="Times New Roman"/>
                <w:color w:val="auto"/>
                <w:sz w:val="24"/>
                <w:lang w:val="pt-BR"/>
              </w:rPr>
              <w:t>。</w:t>
            </w:r>
          </w:p>
          <w:p w14:paraId="103B4A66">
            <w:pPr>
              <w:keepNext w:val="0"/>
              <w:keepLines w:val="0"/>
              <w:pageBreakBefore w:val="0"/>
              <w:widowControl w:val="0"/>
              <w:kinsoku/>
              <w:wordWrap/>
              <w:overflowPunct/>
              <w:topLinePunct w:val="0"/>
              <w:bidi w:val="0"/>
              <w:spacing w:before="157" w:beforeLines="50" w:line="360" w:lineRule="auto"/>
              <w:jc w:val="center"/>
              <w:textAlignment w:val="baseline"/>
              <w:rPr>
                <w:rFonts w:hint="eastAsia" w:ascii="Times New Roman" w:hAnsi="Times New Roman" w:eastAsia="黑体" w:cs="Times New Roman"/>
                <w:bCs/>
                <w:color w:val="auto"/>
                <w:sz w:val="24"/>
                <w:lang w:val="en-US" w:eastAsia="zh-CN"/>
              </w:rPr>
            </w:pPr>
            <w:r>
              <w:rPr>
                <w:rFonts w:hint="eastAsia" w:ascii="Times New Roman" w:hAnsi="Times New Roman" w:eastAsia="黑体" w:cs="Times New Roman"/>
                <w:bCs/>
                <w:color w:val="auto"/>
                <w:sz w:val="24"/>
                <w:lang w:val="en-US" w:eastAsia="zh-CN"/>
              </w:rPr>
              <w:t>表</w:t>
            </w:r>
            <w:r>
              <w:rPr>
                <w:rFonts w:hint="eastAsia" w:eastAsia="黑体" w:cs="Times New Roman"/>
                <w:bCs/>
                <w:color w:val="auto"/>
                <w:sz w:val="24"/>
                <w:lang w:val="en-US" w:eastAsia="zh-CN"/>
              </w:rPr>
              <w:t>5</w:t>
            </w:r>
            <w:r>
              <w:rPr>
                <w:rFonts w:hint="eastAsia" w:ascii="Times New Roman" w:hAnsi="Times New Roman" w:eastAsia="黑体" w:cs="Times New Roman"/>
                <w:bCs/>
                <w:color w:val="auto"/>
                <w:sz w:val="24"/>
                <w:lang w:val="en-US" w:eastAsia="zh-CN"/>
              </w:rPr>
              <w:t xml:space="preserve">     项目与《</w:t>
            </w:r>
            <w:r>
              <w:rPr>
                <w:rFonts w:hint="eastAsia" w:eastAsia="黑体" w:cs="Times New Roman"/>
                <w:bCs/>
                <w:color w:val="auto"/>
                <w:sz w:val="24"/>
                <w:lang w:val="en-US" w:eastAsia="zh-CN"/>
              </w:rPr>
              <w:t>技术指南</w:t>
            </w:r>
            <w:r>
              <w:rPr>
                <w:rFonts w:hint="eastAsia" w:ascii="Times New Roman" w:hAnsi="Times New Roman" w:eastAsia="黑体" w:cs="Times New Roman"/>
                <w:bCs/>
                <w:color w:val="auto"/>
                <w:sz w:val="24"/>
                <w:lang w:val="en-US" w:eastAsia="zh-CN"/>
              </w:rPr>
              <w:t>》</w:t>
            </w:r>
            <w:r>
              <w:rPr>
                <w:rFonts w:hint="eastAsia" w:eastAsia="黑体" w:cs="Times New Roman"/>
                <w:bCs/>
                <w:color w:val="auto"/>
                <w:sz w:val="24"/>
                <w:lang w:val="en-US" w:eastAsia="zh-CN"/>
              </w:rPr>
              <w:t>电池制造行业要求</w:t>
            </w:r>
            <w:r>
              <w:rPr>
                <w:rFonts w:hint="eastAsia" w:ascii="Times New Roman" w:hAnsi="Times New Roman" w:eastAsia="黑体" w:cs="Times New Roman"/>
                <w:bCs/>
                <w:color w:val="auto"/>
                <w:sz w:val="24"/>
                <w:lang w:val="en-US" w:eastAsia="zh-CN"/>
              </w:rPr>
              <w:t>相符性分析</w:t>
            </w:r>
          </w:p>
          <w:tbl>
            <w:tblPr>
              <w:tblStyle w:val="17"/>
              <w:tblW w:w="499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93"/>
              <w:gridCol w:w="905"/>
              <w:gridCol w:w="2639"/>
              <w:gridCol w:w="2262"/>
              <w:gridCol w:w="816"/>
            </w:tblGrid>
            <w:tr w14:paraId="5B14EE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52" w:type="pct"/>
                  <w:tcBorders>
                    <w:top w:val="single" w:color="auto" w:sz="8" w:space="0"/>
                    <w:bottom w:val="single" w:color="auto" w:sz="8" w:space="0"/>
                  </w:tcBorders>
                  <w:shd w:val="clear" w:color="auto" w:fill="auto"/>
                  <w:noWrap w:val="0"/>
                  <w:vAlign w:val="center"/>
                </w:tcPr>
                <w:p w14:paraId="66688612">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ascii="Times New Roman" w:hAnsi="宋体" w:eastAsia="宋体" w:cs="Times New Roman"/>
                      <w:b/>
                      <w:bCs/>
                      <w:color w:val="auto"/>
                      <w:sz w:val="21"/>
                      <w:szCs w:val="21"/>
                      <w:lang w:val="en-US" w:eastAsia="zh-CN"/>
                    </w:rPr>
                  </w:pPr>
                  <w:r>
                    <w:rPr>
                      <w:rFonts w:hint="eastAsia"/>
                      <w:b/>
                      <w:bCs/>
                      <w:color w:val="auto"/>
                      <w:sz w:val="21"/>
                      <w:szCs w:val="21"/>
                      <w:highlight w:val="none"/>
                      <w:lang w:val="en-US" w:eastAsia="zh-CN"/>
                    </w:rPr>
                    <w:t>差异化指标</w:t>
                  </w:r>
                </w:p>
              </w:tc>
              <w:tc>
                <w:tcPr>
                  <w:tcW w:w="2326" w:type="pct"/>
                  <w:gridSpan w:val="2"/>
                  <w:tcBorders>
                    <w:top w:val="single" w:color="auto" w:sz="8" w:space="0"/>
                    <w:bottom w:val="single" w:color="auto" w:sz="8" w:space="0"/>
                  </w:tcBorders>
                  <w:shd w:val="clear" w:color="auto" w:fill="auto"/>
                  <w:noWrap w:val="0"/>
                  <w:vAlign w:val="center"/>
                </w:tcPr>
                <w:p w14:paraId="349B63D3">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宋体" w:eastAsia="宋体" w:cs="Times New Roman"/>
                      <w:b/>
                      <w:bCs/>
                      <w:color w:val="auto"/>
                      <w:kern w:val="0"/>
                      <w:sz w:val="21"/>
                      <w:szCs w:val="21"/>
                      <w:lang w:val="en-US" w:eastAsia="zh-CN" w:bidi="ar-SA"/>
                    </w:rPr>
                  </w:pPr>
                  <w:r>
                    <w:rPr>
                      <w:rFonts w:hint="eastAsia"/>
                      <w:b/>
                      <w:bCs/>
                      <w:color w:val="auto"/>
                      <w:sz w:val="21"/>
                      <w:szCs w:val="21"/>
                      <w:highlight w:val="none"/>
                      <w:lang w:val="en-US" w:eastAsia="zh-CN"/>
                    </w:rPr>
                    <w:t>A级企业</w:t>
                  </w:r>
                </w:p>
              </w:tc>
              <w:tc>
                <w:tcPr>
                  <w:tcW w:w="1485" w:type="pct"/>
                  <w:tcBorders>
                    <w:top w:val="single" w:color="auto" w:sz="8" w:space="0"/>
                    <w:bottom w:val="single" w:color="auto" w:sz="8" w:space="0"/>
                  </w:tcBorders>
                  <w:shd w:val="clear" w:color="auto" w:fill="auto"/>
                  <w:noWrap w:val="0"/>
                  <w:vAlign w:val="center"/>
                </w:tcPr>
                <w:p w14:paraId="238F197B">
                  <w:pPr>
                    <w:pStyle w:val="22"/>
                    <w:keepNext w:val="0"/>
                    <w:keepLines w:val="0"/>
                    <w:pageBreakBefore w:val="0"/>
                    <w:widowControl w:val="0"/>
                    <w:kinsoku/>
                    <w:wordWrap/>
                    <w:overflowPunct/>
                    <w:topLinePunct w:val="0"/>
                    <w:autoSpaceDE/>
                    <w:autoSpaceDN/>
                    <w:bidi w:val="0"/>
                    <w:adjustRightInd w:val="0"/>
                    <w:snapToGrid w:val="0"/>
                    <w:spacing w:beforeLines="0"/>
                    <w:ind w:firstLine="0" w:firstLineChars="0"/>
                    <w:jc w:val="center"/>
                    <w:textAlignment w:val="auto"/>
                    <w:rPr>
                      <w:rFonts w:ascii="Times New Roman" w:hAnsi="宋体" w:eastAsia="宋体" w:cs="Times New Roman"/>
                      <w:b/>
                      <w:bCs/>
                      <w:color w:val="auto"/>
                      <w:kern w:val="0"/>
                      <w:sz w:val="21"/>
                      <w:szCs w:val="21"/>
                      <w:lang w:val="en-US" w:eastAsia="zh-CN" w:bidi="ar-SA"/>
                    </w:rPr>
                  </w:pPr>
                  <w:r>
                    <w:rPr>
                      <w:b/>
                      <w:bCs/>
                      <w:color w:val="auto"/>
                      <w:sz w:val="21"/>
                      <w:szCs w:val="21"/>
                      <w:highlight w:val="none"/>
                    </w:rPr>
                    <w:t>本项目情况</w:t>
                  </w:r>
                </w:p>
              </w:tc>
              <w:tc>
                <w:tcPr>
                  <w:tcW w:w="535" w:type="pct"/>
                  <w:tcBorders>
                    <w:top w:val="single" w:color="auto" w:sz="8" w:space="0"/>
                    <w:bottom w:val="single" w:color="auto" w:sz="8" w:space="0"/>
                  </w:tcBorders>
                  <w:shd w:val="clear" w:color="auto" w:fill="auto"/>
                  <w:noWrap w:val="0"/>
                  <w:vAlign w:val="center"/>
                </w:tcPr>
                <w:p w14:paraId="0D8C3ABF">
                  <w:pPr>
                    <w:pStyle w:val="22"/>
                    <w:keepNext w:val="0"/>
                    <w:keepLines w:val="0"/>
                    <w:pageBreakBefore w:val="0"/>
                    <w:widowControl w:val="0"/>
                    <w:kinsoku/>
                    <w:wordWrap/>
                    <w:overflowPunct/>
                    <w:topLinePunct w:val="0"/>
                    <w:autoSpaceDE/>
                    <w:autoSpaceDN/>
                    <w:bidi w:val="0"/>
                    <w:adjustRightInd w:val="0"/>
                    <w:snapToGrid w:val="0"/>
                    <w:spacing w:beforeLines="0"/>
                    <w:ind w:firstLine="0" w:firstLineChars="0"/>
                    <w:jc w:val="center"/>
                    <w:textAlignment w:val="auto"/>
                    <w:rPr>
                      <w:rFonts w:hint="eastAsia" w:ascii="Times New Roman" w:hAnsi="宋体" w:eastAsia="宋体" w:cs="Times New Roman"/>
                      <w:b/>
                      <w:bCs/>
                      <w:color w:val="auto"/>
                      <w:sz w:val="21"/>
                      <w:szCs w:val="21"/>
                      <w:lang w:val="en-US" w:eastAsia="zh-CN"/>
                    </w:rPr>
                  </w:pPr>
                  <w:r>
                    <w:rPr>
                      <w:rFonts w:hint="eastAsia" w:hAnsi="宋体" w:cs="Times New Roman"/>
                      <w:b/>
                      <w:bCs/>
                      <w:color w:val="auto"/>
                      <w:sz w:val="21"/>
                      <w:szCs w:val="21"/>
                      <w:lang w:val="en-US" w:eastAsia="zh-CN"/>
                    </w:rPr>
                    <w:t>相符性</w:t>
                  </w:r>
                </w:p>
              </w:tc>
            </w:tr>
            <w:tr w14:paraId="242FA1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tcBorders>
                    <w:top w:val="single" w:color="auto" w:sz="8" w:space="0"/>
                  </w:tcBorders>
                  <w:shd w:val="clear" w:color="auto" w:fill="auto"/>
                  <w:noWrap w:val="0"/>
                  <w:vAlign w:val="center"/>
                </w:tcPr>
                <w:p w14:paraId="18563285">
                  <w:pPr>
                    <w:widowControl/>
                    <w:autoSpaceDE w:val="0"/>
                    <w:autoSpaceDN w:val="0"/>
                    <w:adjustRightInd w:val="0"/>
                    <w:snapToGrid w:val="0"/>
                    <w:jc w:val="center"/>
                    <w:rPr>
                      <w:rFonts w:hint="default" w:eastAsia="宋体"/>
                      <w:snapToGrid w:val="0"/>
                      <w:color w:val="auto"/>
                      <w:sz w:val="21"/>
                      <w:szCs w:val="18"/>
                      <w:lang w:val="en-US" w:eastAsia="zh-CN"/>
                    </w:rPr>
                  </w:pPr>
                  <w:r>
                    <w:rPr>
                      <w:rFonts w:hint="eastAsia"/>
                      <w:snapToGrid w:val="0"/>
                      <w:color w:val="auto"/>
                      <w:sz w:val="21"/>
                      <w:szCs w:val="18"/>
                      <w:lang w:val="en-US" w:eastAsia="zh-CN"/>
                    </w:rPr>
                    <w:t>能源类型</w:t>
                  </w:r>
                </w:p>
              </w:tc>
              <w:tc>
                <w:tcPr>
                  <w:tcW w:w="2326" w:type="pct"/>
                  <w:gridSpan w:val="2"/>
                  <w:tcBorders>
                    <w:top w:val="single" w:color="auto" w:sz="8" w:space="0"/>
                  </w:tcBorders>
                  <w:shd w:val="clear" w:color="auto" w:fill="auto"/>
                  <w:noWrap w:val="0"/>
                  <w:vAlign w:val="center"/>
                </w:tcPr>
                <w:p w14:paraId="112A4A6C">
                  <w:pPr>
                    <w:widowControl/>
                    <w:autoSpaceDE w:val="0"/>
                    <w:autoSpaceDN w:val="0"/>
                    <w:adjustRightInd w:val="0"/>
                    <w:snapToGrid w:val="0"/>
                    <w:jc w:val="center"/>
                    <w:rPr>
                      <w:rFonts w:hint="eastAsia" w:ascii="Times New Roman" w:hAnsi="Times New Roman" w:cs="Times New Roman"/>
                      <w:snapToGrid w:val="0"/>
                      <w:color w:val="auto"/>
                      <w:sz w:val="21"/>
                      <w:szCs w:val="18"/>
                      <w:lang w:val="en-US" w:eastAsia="zh-CN"/>
                    </w:rPr>
                  </w:pPr>
                  <w:r>
                    <w:rPr>
                      <w:rFonts w:hint="eastAsia" w:ascii="Times New Roman" w:hAnsi="Times New Roman" w:cs="Times New Roman"/>
                      <w:snapToGrid w:val="0"/>
                      <w:color w:val="auto"/>
                      <w:sz w:val="21"/>
                      <w:szCs w:val="18"/>
                      <w:lang w:val="en-US" w:eastAsia="zh-CN"/>
                    </w:rPr>
                    <w:t>使用天然气、电等能源</w:t>
                  </w:r>
                </w:p>
              </w:tc>
              <w:tc>
                <w:tcPr>
                  <w:tcW w:w="1485" w:type="pct"/>
                  <w:tcBorders>
                    <w:top w:val="single" w:color="auto" w:sz="8" w:space="0"/>
                  </w:tcBorders>
                  <w:shd w:val="clear" w:color="auto" w:fill="auto"/>
                  <w:noWrap w:val="0"/>
                  <w:vAlign w:val="center"/>
                </w:tcPr>
                <w:p w14:paraId="02192615">
                  <w:pPr>
                    <w:widowControl/>
                    <w:autoSpaceDE w:val="0"/>
                    <w:autoSpaceDN w:val="0"/>
                    <w:adjustRightInd w:val="0"/>
                    <w:snapToGrid w:val="0"/>
                    <w:jc w:val="both"/>
                    <w:rPr>
                      <w:rFonts w:hint="default" w:ascii="Times New Roman" w:hAnsi="Times New Roman" w:cs="Times New Roman"/>
                      <w:snapToGrid w:val="0"/>
                      <w:color w:val="auto"/>
                      <w:sz w:val="21"/>
                      <w:szCs w:val="18"/>
                      <w:lang w:val="en-US" w:eastAsia="zh-CN"/>
                    </w:rPr>
                  </w:pPr>
                  <w:r>
                    <w:rPr>
                      <w:rFonts w:hint="eastAsia" w:ascii="Times New Roman" w:hAnsi="Times New Roman" w:cs="Times New Roman"/>
                      <w:snapToGrid w:val="0"/>
                      <w:color w:val="auto"/>
                      <w:sz w:val="21"/>
                      <w:szCs w:val="18"/>
                      <w:lang w:val="en-US" w:eastAsia="zh-CN"/>
                    </w:rPr>
                    <w:t>本项目使用能源为电</w:t>
                  </w:r>
                </w:p>
              </w:tc>
              <w:tc>
                <w:tcPr>
                  <w:tcW w:w="535" w:type="pct"/>
                  <w:tcBorders>
                    <w:top w:val="single" w:color="auto" w:sz="8" w:space="0"/>
                  </w:tcBorders>
                  <w:shd w:val="clear" w:color="auto" w:fill="auto"/>
                  <w:noWrap w:val="0"/>
                  <w:vAlign w:val="center"/>
                </w:tcPr>
                <w:p w14:paraId="047C287E">
                  <w:pPr>
                    <w:widowControl/>
                    <w:autoSpaceDE w:val="0"/>
                    <w:autoSpaceDN w:val="0"/>
                    <w:adjustRightInd w:val="0"/>
                    <w:snapToGrid w:val="0"/>
                    <w:jc w:val="center"/>
                    <w:rPr>
                      <w:rFonts w:hint="eastAsia" w:eastAsia="宋体"/>
                      <w:snapToGrid w:val="0"/>
                      <w:color w:val="auto"/>
                      <w:sz w:val="21"/>
                      <w:szCs w:val="18"/>
                      <w:lang w:val="en-US" w:eastAsia="zh-CN"/>
                    </w:rPr>
                  </w:pPr>
                  <w:r>
                    <w:rPr>
                      <w:rFonts w:hint="eastAsia"/>
                      <w:snapToGrid w:val="0"/>
                      <w:color w:val="auto"/>
                      <w:sz w:val="21"/>
                      <w:szCs w:val="18"/>
                      <w:lang w:val="en-US" w:eastAsia="zh-CN"/>
                    </w:rPr>
                    <w:t>符合</w:t>
                  </w:r>
                </w:p>
              </w:tc>
            </w:tr>
            <w:tr w14:paraId="7E4E22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shd w:val="clear" w:color="auto" w:fill="auto"/>
                  <w:noWrap w:val="0"/>
                  <w:vAlign w:val="center"/>
                </w:tcPr>
                <w:p w14:paraId="4888C333">
                  <w:pPr>
                    <w:widowControl/>
                    <w:autoSpaceDE w:val="0"/>
                    <w:autoSpaceDN w:val="0"/>
                    <w:adjustRightInd w:val="0"/>
                    <w:snapToGrid w:val="0"/>
                    <w:jc w:val="center"/>
                    <w:rPr>
                      <w:rFonts w:hint="default" w:eastAsia="宋体"/>
                      <w:snapToGrid w:val="0"/>
                      <w:color w:val="auto"/>
                      <w:sz w:val="21"/>
                      <w:szCs w:val="18"/>
                      <w:lang w:val="en-US" w:eastAsia="zh-CN"/>
                    </w:rPr>
                  </w:pPr>
                  <w:r>
                    <w:rPr>
                      <w:rFonts w:hint="eastAsia"/>
                      <w:snapToGrid w:val="0"/>
                      <w:color w:val="auto"/>
                      <w:sz w:val="21"/>
                      <w:szCs w:val="18"/>
                      <w:lang w:val="en-US" w:eastAsia="zh-CN"/>
                    </w:rPr>
                    <w:t>生产工艺及装备水平</w:t>
                  </w:r>
                </w:p>
              </w:tc>
              <w:tc>
                <w:tcPr>
                  <w:tcW w:w="2326" w:type="pct"/>
                  <w:gridSpan w:val="2"/>
                  <w:shd w:val="clear" w:color="auto" w:fill="auto"/>
                  <w:noWrap w:val="0"/>
                  <w:vAlign w:val="center"/>
                </w:tcPr>
                <w:p w14:paraId="404C35C3">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1.属于《产业结构调整指导目录（2024年版）》鼓励类和允许类；</w:t>
                  </w:r>
                </w:p>
                <w:p w14:paraId="5E91EFC1">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2.符合相关行业产业政策；</w:t>
                  </w:r>
                </w:p>
                <w:p w14:paraId="12D18927">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3.符合河南省相关政策要求；</w:t>
                  </w:r>
                </w:p>
                <w:p w14:paraId="190B137E">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left="0" w:leftChars="0" w:firstLine="0" w:firstLineChars="0"/>
                    <w:jc w:val="both"/>
                    <w:textAlignment w:val="auto"/>
                    <w:rPr>
                      <w:rFonts w:hint="eastAsia" w:ascii="Times New Roman" w:hAnsi="Times New Roman" w:eastAsia="宋体" w:cs="Times New Roman"/>
                      <w:snapToGrid w:val="0"/>
                      <w:color w:val="auto"/>
                      <w:sz w:val="21"/>
                      <w:szCs w:val="18"/>
                    </w:rPr>
                  </w:pPr>
                  <w:r>
                    <w:rPr>
                      <w:rFonts w:hint="default" w:ascii="Times New Roman" w:hAnsi="Times New Roman" w:eastAsia="宋体" w:cs="Times New Roman"/>
                      <w:b w:val="0"/>
                      <w:bCs w:val="0"/>
                      <w:color w:val="auto"/>
                      <w:kern w:val="0"/>
                      <w:sz w:val="21"/>
                      <w:szCs w:val="21"/>
                      <w:lang w:val="en-US" w:eastAsia="zh-CN" w:bidi="ar-SA"/>
                    </w:rPr>
                    <w:t>4.符合市级规划。</w:t>
                  </w:r>
                </w:p>
              </w:tc>
              <w:tc>
                <w:tcPr>
                  <w:tcW w:w="1485" w:type="pct"/>
                  <w:shd w:val="clear" w:color="auto" w:fill="auto"/>
                  <w:noWrap w:val="0"/>
                  <w:vAlign w:val="center"/>
                </w:tcPr>
                <w:p w14:paraId="28273C88">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1.经查阅《产业结构调整指导目录（20</w:t>
                  </w:r>
                  <w:r>
                    <w:rPr>
                      <w:rFonts w:hint="eastAsia" w:ascii="Times New Roman" w:hAnsi="Times New Roman" w:eastAsia="宋体" w:cs="Times New Roman"/>
                      <w:b w:val="0"/>
                      <w:bCs w:val="0"/>
                      <w:color w:val="auto"/>
                      <w:kern w:val="0"/>
                      <w:sz w:val="21"/>
                      <w:szCs w:val="21"/>
                      <w:lang w:val="en-US" w:eastAsia="zh-CN" w:bidi="ar-SA"/>
                    </w:rPr>
                    <w:t>24</w:t>
                  </w:r>
                  <w:r>
                    <w:rPr>
                      <w:rFonts w:hint="default" w:ascii="Times New Roman" w:hAnsi="Times New Roman" w:eastAsia="宋体" w:cs="Times New Roman"/>
                      <w:b w:val="0"/>
                      <w:bCs w:val="0"/>
                      <w:color w:val="auto"/>
                      <w:kern w:val="0"/>
                      <w:sz w:val="21"/>
                      <w:szCs w:val="21"/>
                      <w:lang w:val="en-US" w:eastAsia="zh-CN" w:bidi="ar-SA"/>
                    </w:rPr>
                    <w:t>年版）》本项目属于</w:t>
                  </w:r>
                  <w:r>
                    <w:rPr>
                      <w:rFonts w:hint="eastAsia" w:ascii="Times New Roman" w:hAnsi="Times New Roman" w:eastAsia="宋体" w:cs="Times New Roman"/>
                      <w:b w:val="0"/>
                      <w:bCs w:val="0"/>
                      <w:color w:val="auto"/>
                      <w:kern w:val="0"/>
                      <w:sz w:val="21"/>
                      <w:szCs w:val="21"/>
                      <w:lang w:val="en-US" w:eastAsia="zh-CN" w:bidi="ar-SA"/>
                    </w:rPr>
                    <w:t>允许</w:t>
                  </w:r>
                  <w:r>
                    <w:rPr>
                      <w:rFonts w:hint="default" w:ascii="Times New Roman" w:hAnsi="Times New Roman" w:eastAsia="宋体" w:cs="Times New Roman"/>
                      <w:b w:val="0"/>
                      <w:bCs w:val="0"/>
                      <w:color w:val="auto"/>
                      <w:kern w:val="0"/>
                      <w:sz w:val="21"/>
                      <w:szCs w:val="21"/>
                      <w:lang w:val="en-US" w:eastAsia="zh-CN" w:bidi="ar-SA"/>
                    </w:rPr>
                    <w:t>类。</w:t>
                  </w:r>
                </w:p>
                <w:p w14:paraId="6355AC4C">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2.本项目符合相关产业政策。</w:t>
                  </w:r>
                </w:p>
                <w:p w14:paraId="00FA7709">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eastAsia="宋体" w:cs="Times New Roman"/>
                      <w:b w:val="0"/>
                      <w:bCs w:val="0"/>
                      <w:color w:val="auto"/>
                      <w:kern w:val="0"/>
                      <w:sz w:val="21"/>
                      <w:szCs w:val="21"/>
                      <w:lang w:val="en-US" w:eastAsia="zh-CN" w:bidi="ar-SA"/>
                    </w:rPr>
                    <w:t>3.本项目符合河南省相关政策要求。</w:t>
                  </w:r>
                </w:p>
                <w:p w14:paraId="4CDAAA2A">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left="0" w:leftChars="0" w:firstLine="0" w:firstLineChars="0"/>
                    <w:jc w:val="both"/>
                    <w:textAlignment w:val="auto"/>
                    <w:rPr>
                      <w:rFonts w:hint="default" w:eastAsia="宋体"/>
                      <w:snapToGrid w:val="0"/>
                      <w:color w:val="auto"/>
                      <w:sz w:val="21"/>
                      <w:szCs w:val="18"/>
                      <w:lang w:val="en-US" w:eastAsia="zh-CN"/>
                    </w:rPr>
                  </w:pPr>
                  <w:r>
                    <w:rPr>
                      <w:rFonts w:hint="default" w:ascii="Times New Roman" w:hAnsi="Times New Roman" w:eastAsia="宋体" w:cs="Times New Roman"/>
                      <w:b w:val="0"/>
                      <w:bCs w:val="0"/>
                      <w:color w:val="auto"/>
                      <w:kern w:val="0"/>
                      <w:sz w:val="21"/>
                      <w:szCs w:val="21"/>
                      <w:lang w:val="en-US" w:eastAsia="zh-CN" w:bidi="ar-SA"/>
                    </w:rPr>
                    <w:t>4.本项目符合新乡市规划。</w:t>
                  </w:r>
                </w:p>
              </w:tc>
              <w:tc>
                <w:tcPr>
                  <w:tcW w:w="535" w:type="pct"/>
                  <w:shd w:val="clear" w:color="auto" w:fill="auto"/>
                  <w:noWrap w:val="0"/>
                  <w:vAlign w:val="center"/>
                </w:tcPr>
                <w:p w14:paraId="3C147DA3">
                  <w:pPr>
                    <w:widowControl/>
                    <w:autoSpaceDE w:val="0"/>
                    <w:autoSpaceDN w:val="0"/>
                    <w:adjustRightInd w:val="0"/>
                    <w:snapToGrid w:val="0"/>
                    <w:jc w:val="center"/>
                    <w:rPr>
                      <w:rFonts w:hint="eastAsia" w:eastAsia="宋体"/>
                      <w:snapToGrid w:val="0"/>
                      <w:color w:val="auto"/>
                      <w:sz w:val="21"/>
                      <w:szCs w:val="18"/>
                      <w:lang w:val="en-US" w:eastAsia="zh-CN"/>
                    </w:rPr>
                  </w:pPr>
                  <w:r>
                    <w:rPr>
                      <w:rFonts w:hint="eastAsia"/>
                      <w:snapToGrid w:val="0"/>
                      <w:color w:val="auto"/>
                      <w:sz w:val="21"/>
                      <w:szCs w:val="18"/>
                      <w:lang w:val="en-US" w:eastAsia="zh-CN"/>
                    </w:rPr>
                    <w:t>符合</w:t>
                  </w:r>
                </w:p>
              </w:tc>
            </w:tr>
            <w:tr w14:paraId="435F85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shd w:val="clear" w:color="auto" w:fill="auto"/>
                  <w:noWrap w:val="0"/>
                  <w:vAlign w:val="center"/>
                </w:tcPr>
                <w:p w14:paraId="20076522">
                  <w:pPr>
                    <w:widowControl/>
                    <w:autoSpaceDE w:val="0"/>
                    <w:autoSpaceDN w:val="0"/>
                    <w:adjustRightInd w:val="0"/>
                    <w:snapToGrid w:val="0"/>
                    <w:jc w:val="center"/>
                    <w:rPr>
                      <w:rFonts w:hint="default"/>
                      <w:snapToGrid w:val="0"/>
                      <w:color w:val="auto"/>
                      <w:sz w:val="21"/>
                      <w:szCs w:val="18"/>
                      <w:lang w:val="en-US" w:eastAsia="zh-CN"/>
                    </w:rPr>
                  </w:pPr>
                  <w:r>
                    <w:rPr>
                      <w:rFonts w:hint="eastAsia"/>
                      <w:snapToGrid w:val="0"/>
                      <w:color w:val="auto"/>
                      <w:sz w:val="21"/>
                      <w:szCs w:val="18"/>
                      <w:lang w:val="en-US" w:eastAsia="zh-CN"/>
                    </w:rPr>
                    <w:t>污染治理技术</w:t>
                  </w:r>
                </w:p>
              </w:tc>
              <w:tc>
                <w:tcPr>
                  <w:tcW w:w="2326" w:type="pct"/>
                  <w:gridSpan w:val="2"/>
                  <w:shd w:val="clear" w:color="auto" w:fill="auto"/>
                  <w:noWrap w:val="0"/>
                  <w:vAlign w:val="center"/>
                </w:tcPr>
                <w:p w14:paraId="6B766B7A">
                  <w:pPr>
                    <w:widowControl/>
                    <w:autoSpaceDE w:val="0"/>
                    <w:autoSpaceDN w:val="0"/>
                    <w:adjustRightInd w:val="0"/>
                    <w:snapToGrid w:val="0"/>
                    <w:jc w:val="center"/>
                    <w:rPr>
                      <w:rFonts w:hint="eastAsia" w:ascii="Times New Roman" w:hAnsi="Times New Roman" w:eastAsia="宋体" w:cs="Times New Roman"/>
                      <w:snapToGrid w:val="0"/>
                      <w:color w:val="auto"/>
                      <w:sz w:val="21"/>
                      <w:szCs w:val="18"/>
                    </w:rPr>
                  </w:pPr>
                  <w:r>
                    <w:rPr>
                      <w:rFonts w:hint="default" w:ascii="Times New Roman" w:hAnsi="Times New Roman" w:eastAsia="宋体" w:cs="Times New Roman"/>
                      <w:b w:val="0"/>
                      <w:bCs w:val="0"/>
                      <w:color w:val="auto"/>
                      <w:sz w:val="21"/>
                      <w:szCs w:val="21"/>
                    </w:rPr>
                    <w:t>配料工序、镍氢电池产尘环节釆用袋式除尘器除尘；拉浆、涂布和电解液生产等涉VOCs工序釆用低温冷凝、焚烧、吸附+脱附焚烧或吸附+脱附冷凝等处理工艺。</w:t>
                  </w:r>
                </w:p>
              </w:tc>
              <w:tc>
                <w:tcPr>
                  <w:tcW w:w="1485" w:type="pct"/>
                  <w:shd w:val="clear" w:color="auto" w:fill="auto"/>
                  <w:noWrap w:val="0"/>
                  <w:vAlign w:val="center"/>
                </w:tcPr>
                <w:p w14:paraId="1742C55C">
                  <w:pPr>
                    <w:widowControl/>
                    <w:autoSpaceDE w:val="0"/>
                    <w:autoSpaceDN w:val="0"/>
                    <w:adjustRightInd w:val="0"/>
                    <w:snapToGrid w:val="0"/>
                    <w:jc w:val="both"/>
                    <w:rPr>
                      <w:rFonts w:hint="default" w:eastAsia="宋体"/>
                      <w:snapToGrid w:val="0"/>
                      <w:color w:val="auto"/>
                      <w:sz w:val="21"/>
                      <w:szCs w:val="18"/>
                      <w:lang w:val="en-US" w:eastAsia="zh-CN"/>
                    </w:rPr>
                  </w:pPr>
                  <w:r>
                    <w:rPr>
                      <w:rFonts w:hint="eastAsia"/>
                      <w:snapToGrid w:val="0"/>
                      <w:color w:val="auto"/>
                      <w:sz w:val="21"/>
                      <w:szCs w:val="18"/>
                      <w:lang w:val="en-US" w:eastAsia="zh-CN"/>
                    </w:rPr>
                    <w:t>本项目不涉及配料工序，原料采购涂布清洁完成后的成品正负极，电解液购买调配好的成品氢氧化钾溶液。不涉及颗粒物及</w:t>
                  </w:r>
                  <w:r>
                    <w:rPr>
                      <w:rFonts w:hint="default" w:ascii="Times New Roman" w:hAnsi="Times New Roman" w:eastAsia="宋体" w:cs="Times New Roman"/>
                      <w:b w:val="0"/>
                      <w:bCs w:val="0"/>
                      <w:color w:val="auto"/>
                      <w:sz w:val="21"/>
                      <w:szCs w:val="21"/>
                    </w:rPr>
                    <w:t>VOCs</w:t>
                  </w:r>
                  <w:r>
                    <w:rPr>
                      <w:rFonts w:hint="eastAsia" w:ascii="Times New Roman" w:hAnsi="Times New Roman" w:cs="Times New Roman"/>
                      <w:b w:val="0"/>
                      <w:bCs w:val="0"/>
                      <w:color w:val="auto"/>
                      <w:sz w:val="21"/>
                      <w:szCs w:val="21"/>
                      <w:lang w:eastAsia="zh-CN"/>
                    </w:rPr>
                    <w:t>的</w:t>
                  </w:r>
                  <w:r>
                    <w:rPr>
                      <w:rFonts w:hint="eastAsia" w:ascii="Times New Roman" w:hAnsi="Times New Roman" w:cs="Times New Roman"/>
                      <w:b w:val="0"/>
                      <w:bCs w:val="0"/>
                      <w:color w:val="auto"/>
                      <w:sz w:val="21"/>
                      <w:szCs w:val="21"/>
                      <w:lang w:val="en-US" w:eastAsia="zh-CN"/>
                    </w:rPr>
                    <w:t>产生。</w:t>
                  </w:r>
                </w:p>
              </w:tc>
              <w:tc>
                <w:tcPr>
                  <w:tcW w:w="535" w:type="pct"/>
                  <w:shd w:val="clear" w:color="auto" w:fill="auto"/>
                  <w:noWrap w:val="0"/>
                  <w:vAlign w:val="center"/>
                </w:tcPr>
                <w:p w14:paraId="268496FA">
                  <w:pPr>
                    <w:widowControl/>
                    <w:autoSpaceDE w:val="0"/>
                    <w:autoSpaceDN w:val="0"/>
                    <w:adjustRightInd w:val="0"/>
                    <w:snapToGrid w:val="0"/>
                    <w:jc w:val="center"/>
                    <w:rPr>
                      <w:rFonts w:hint="default" w:eastAsia="宋体"/>
                      <w:snapToGrid w:val="0"/>
                      <w:color w:val="auto"/>
                      <w:sz w:val="21"/>
                      <w:szCs w:val="18"/>
                      <w:lang w:val="en-US" w:eastAsia="zh-CN"/>
                    </w:rPr>
                  </w:pPr>
                  <w:r>
                    <w:rPr>
                      <w:rFonts w:hint="eastAsia"/>
                      <w:snapToGrid w:val="0"/>
                      <w:color w:val="auto"/>
                      <w:sz w:val="21"/>
                      <w:szCs w:val="18"/>
                      <w:lang w:val="en-US" w:eastAsia="zh-CN"/>
                    </w:rPr>
                    <w:t>符合</w:t>
                  </w:r>
                </w:p>
              </w:tc>
            </w:tr>
            <w:tr w14:paraId="5FD6B5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shd w:val="clear" w:color="auto" w:fill="auto"/>
                  <w:noWrap w:val="0"/>
                  <w:vAlign w:val="center"/>
                </w:tcPr>
                <w:p w14:paraId="65FA50B6">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无组织排放</w:t>
                  </w:r>
                </w:p>
              </w:tc>
              <w:tc>
                <w:tcPr>
                  <w:tcW w:w="2326" w:type="pct"/>
                  <w:gridSpan w:val="2"/>
                  <w:shd w:val="clear" w:color="auto" w:fill="auto"/>
                  <w:noWrap w:val="0"/>
                  <w:vAlign w:val="center"/>
                </w:tcPr>
                <w:p w14:paraId="7962D0D2">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eastAsia="zh-CN"/>
                    </w:rPr>
                  </w:pPr>
                  <w:r>
                    <w:rPr>
                      <w:rFonts w:hint="eastAsia" w:ascii="Times New Roman" w:hAnsi="Times New Roman" w:eastAsia="宋体" w:cs="Times New Roman"/>
                      <w:snapToGrid w:val="0"/>
                      <w:color w:val="auto"/>
                      <w:sz w:val="21"/>
                      <w:szCs w:val="18"/>
                    </w:rPr>
                    <w:t>1.配料工段置于独立密闭配料间，配料工序粉尘局部负压收集</w:t>
                  </w:r>
                  <w:r>
                    <w:rPr>
                      <w:rFonts w:hint="eastAsia" w:cs="Times New Roman"/>
                      <w:snapToGrid w:val="0"/>
                      <w:color w:val="auto"/>
                      <w:sz w:val="21"/>
                      <w:szCs w:val="18"/>
                      <w:lang w:eastAsia="zh-CN"/>
                    </w:rPr>
                    <w:t>；</w:t>
                  </w:r>
                </w:p>
                <w:p w14:paraId="0193565A">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eastAsia="zh-CN"/>
                    </w:rPr>
                  </w:pPr>
                  <w:r>
                    <w:rPr>
                      <w:rFonts w:hint="eastAsia" w:ascii="Times New Roman" w:hAnsi="Times New Roman" w:eastAsia="宋体" w:cs="Times New Roman"/>
                      <w:snapToGrid w:val="0"/>
                      <w:color w:val="auto"/>
                      <w:sz w:val="21"/>
                      <w:szCs w:val="18"/>
                    </w:rPr>
                    <w:t>2.镍氢电池合粉、包粉、装配等产尘工序和铅蓄电池制粉、和膏、板栅铸造、灌粉、分片、刷片、成片、包片、焊接及其他电池涉尘工序均需采用负压收集措施</w:t>
                  </w:r>
                  <w:r>
                    <w:rPr>
                      <w:rFonts w:hint="eastAsia" w:cs="Times New Roman"/>
                      <w:snapToGrid w:val="0"/>
                      <w:color w:val="auto"/>
                      <w:sz w:val="21"/>
                      <w:szCs w:val="18"/>
                      <w:lang w:eastAsia="zh-CN"/>
                    </w:rPr>
                    <w:t>；</w:t>
                  </w:r>
                </w:p>
                <w:p w14:paraId="2B1EC58A">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eastAsia="zh-CN"/>
                    </w:rPr>
                  </w:pPr>
                  <w:r>
                    <w:rPr>
                      <w:rFonts w:hint="eastAsia" w:ascii="Times New Roman" w:hAnsi="Times New Roman" w:eastAsia="宋体" w:cs="Times New Roman"/>
                      <w:snapToGrid w:val="0"/>
                      <w:color w:val="auto"/>
                      <w:sz w:val="21"/>
                      <w:szCs w:val="18"/>
                    </w:rPr>
                    <w:t>3.拉浆、涂布和电解液生产等涉VOCs工序采用封闭负压收集措施</w:t>
                  </w:r>
                  <w:r>
                    <w:rPr>
                      <w:rFonts w:hint="eastAsia" w:cs="Times New Roman"/>
                      <w:snapToGrid w:val="0"/>
                      <w:color w:val="auto"/>
                      <w:sz w:val="21"/>
                      <w:szCs w:val="18"/>
                      <w:lang w:eastAsia="zh-CN"/>
                    </w:rPr>
                    <w:t>；</w:t>
                  </w:r>
                </w:p>
                <w:p w14:paraId="397DEB6C">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eastAsia="zh-CN"/>
                    </w:rPr>
                  </w:pPr>
                  <w:r>
                    <w:rPr>
                      <w:rFonts w:hint="eastAsia" w:ascii="Times New Roman" w:hAnsi="Times New Roman" w:eastAsia="宋体" w:cs="Times New Roman"/>
                      <w:snapToGrid w:val="0"/>
                      <w:color w:val="auto"/>
                      <w:sz w:val="21"/>
                      <w:szCs w:val="18"/>
                    </w:rPr>
                    <w:t>4.厂区地面全部硬化或绿化，无成片裸露土地</w:t>
                  </w:r>
                  <w:r>
                    <w:rPr>
                      <w:rFonts w:hint="eastAsia" w:cs="Times New Roman"/>
                      <w:snapToGrid w:val="0"/>
                      <w:color w:val="auto"/>
                      <w:sz w:val="21"/>
                      <w:szCs w:val="18"/>
                      <w:lang w:eastAsia="zh-CN"/>
                    </w:rPr>
                    <w:t>；</w:t>
                  </w:r>
                </w:p>
                <w:p w14:paraId="12E74694">
                  <w:pPr>
                    <w:widowControl/>
                    <w:autoSpaceDE w:val="0"/>
                    <w:autoSpaceDN w:val="0"/>
                    <w:adjustRightInd w:val="0"/>
                    <w:snapToGrid w:val="0"/>
                    <w:jc w:val="center"/>
                    <w:rPr>
                      <w:rFonts w:hint="eastAsia" w:ascii="Times New Roman" w:hAnsi="Times New Roman" w:eastAsia="宋体" w:cs="Times New Roman"/>
                      <w:snapToGrid w:val="0"/>
                      <w:color w:val="auto"/>
                      <w:sz w:val="21"/>
                      <w:szCs w:val="18"/>
                    </w:rPr>
                  </w:pPr>
                  <w:r>
                    <w:rPr>
                      <w:rFonts w:hint="eastAsia" w:ascii="Times New Roman" w:hAnsi="Times New Roman" w:eastAsia="宋体" w:cs="Times New Roman"/>
                      <w:snapToGrid w:val="0"/>
                      <w:color w:val="auto"/>
                      <w:sz w:val="21"/>
                      <w:szCs w:val="18"/>
                    </w:rPr>
                    <w:t>5.贮存易产生粉尘、VOCs、酸雾、有毒有害大气污染物和异味的危险废物贮存库，设有废气收集装置和处理设施，废气处理设施的排气筒高度不低于15m。</w:t>
                  </w:r>
                </w:p>
              </w:tc>
              <w:tc>
                <w:tcPr>
                  <w:tcW w:w="1485" w:type="pct"/>
                  <w:shd w:val="clear" w:color="auto" w:fill="auto"/>
                  <w:noWrap w:val="0"/>
                  <w:vAlign w:val="center"/>
                </w:tcPr>
                <w:p w14:paraId="1BCE904D">
                  <w:pPr>
                    <w:widowControl/>
                    <w:autoSpaceDE w:val="0"/>
                    <w:autoSpaceDN w:val="0"/>
                    <w:adjustRightInd w:val="0"/>
                    <w:snapToGrid w:val="0"/>
                    <w:jc w:val="both"/>
                    <w:rPr>
                      <w:rFonts w:hint="eastAsia" w:cs="Times New Roman"/>
                      <w:snapToGrid w:val="0"/>
                      <w:color w:val="auto"/>
                      <w:sz w:val="21"/>
                      <w:szCs w:val="18"/>
                      <w:lang w:val="en-US" w:eastAsia="zh-CN"/>
                    </w:rPr>
                  </w:pPr>
                  <w:r>
                    <w:rPr>
                      <w:rFonts w:hint="eastAsia" w:cs="Times New Roman"/>
                      <w:snapToGrid w:val="0"/>
                      <w:color w:val="auto"/>
                      <w:sz w:val="21"/>
                      <w:szCs w:val="18"/>
                      <w:lang w:val="en-US" w:eastAsia="zh-CN"/>
                    </w:rPr>
                    <w:t>1、本项目不涉及配料工序；</w:t>
                  </w:r>
                </w:p>
                <w:p w14:paraId="2847B15E">
                  <w:pPr>
                    <w:widowControl/>
                    <w:autoSpaceDE w:val="0"/>
                    <w:autoSpaceDN w:val="0"/>
                    <w:adjustRightInd w:val="0"/>
                    <w:snapToGrid w:val="0"/>
                    <w:jc w:val="both"/>
                    <w:rPr>
                      <w:rFonts w:hint="eastAsia" w:ascii="Times New Roman" w:hAnsi="Times New Roman" w:cs="Times New Roman"/>
                      <w:snapToGrid w:val="0"/>
                      <w:color w:val="auto"/>
                      <w:sz w:val="21"/>
                      <w:szCs w:val="18"/>
                      <w:lang w:eastAsia="zh-CN"/>
                    </w:rPr>
                  </w:pPr>
                  <w:r>
                    <w:rPr>
                      <w:rFonts w:hint="eastAsia" w:cs="Times New Roman"/>
                      <w:snapToGrid w:val="0"/>
                      <w:color w:val="auto"/>
                      <w:sz w:val="21"/>
                      <w:szCs w:val="18"/>
                      <w:lang w:val="en-US" w:eastAsia="zh-CN"/>
                    </w:rPr>
                    <w:t>2、本项目属于镍氢电池制造，外购正负极片，不涉及</w:t>
                  </w:r>
                  <w:r>
                    <w:rPr>
                      <w:rFonts w:hint="eastAsia" w:ascii="Times New Roman" w:hAnsi="Times New Roman" w:eastAsia="宋体" w:cs="Times New Roman"/>
                      <w:snapToGrid w:val="0"/>
                      <w:color w:val="auto"/>
                      <w:sz w:val="21"/>
                      <w:szCs w:val="18"/>
                    </w:rPr>
                    <w:t>镍氢电池合粉、包粉、装配等产尘工序</w:t>
                  </w:r>
                  <w:r>
                    <w:rPr>
                      <w:rFonts w:hint="eastAsia" w:ascii="Times New Roman" w:hAnsi="Times New Roman" w:cs="Times New Roman"/>
                      <w:snapToGrid w:val="0"/>
                      <w:color w:val="auto"/>
                      <w:sz w:val="21"/>
                      <w:szCs w:val="18"/>
                      <w:lang w:eastAsia="zh-CN"/>
                    </w:rPr>
                    <w:t>；</w:t>
                  </w:r>
                </w:p>
                <w:p w14:paraId="26180332">
                  <w:pPr>
                    <w:widowControl/>
                    <w:autoSpaceDE w:val="0"/>
                    <w:autoSpaceDN w:val="0"/>
                    <w:adjustRightInd w:val="0"/>
                    <w:snapToGrid w:val="0"/>
                    <w:jc w:val="both"/>
                    <w:rPr>
                      <w:rFonts w:hint="eastAsia" w:ascii="Times New Roman" w:hAnsi="Times New Roman" w:cs="Times New Roman"/>
                      <w:snapToGrid w:val="0"/>
                      <w:color w:val="auto"/>
                      <w:sz w:val="21"/>
                      <w:szCs w:val="18"/>
                      <w:lang w:eastAsia="zh-CN"/>
                    </w:rPr>
                  </w:pPr>
                  <w:r>
                    <w:rPr>
                      <w:rFonts w:hint="eastAsia" w:ascii="Times New Roman" w:hAnsi="Times New Roman" w:cs="Times New Roman"/>
                      <w:snapToGrid w:val="0"/>
                      <w:color w:val="auto"/>
                      <w:sz w:val="21"/>
                      <w:szCs w:val="18"/>
                      <w:lang w:val="en-US" w:eastAsia="zh-CN"/>
                    </w:rPr>
                    <w:t>3、本项目不涉及</w:t>
                  </w:r>
                  <w:r>
                    <w:rPr>
                      <w:rFonts w:hint="eastAsia" w:ascii="Times New Roman" w:hAnsi="Times New Roman" w:eastAsia="宋体" w:cs="Times New Roman"/>
                      <w:snapToGrid w:val="0"/>
                      <w:color w:val="auto"/>
                      <w:sz w:val="21"/>
                      <w:szCs w:val="18"/>
                    </w:rPr>
                    <w:t>拉浆、涂布和电解液生产</w:t>
                  </w:r>
                  <w:r>
                    <w:rPr>
                      <w:rFonts w:hint="eastAsia" w:ascii="Times New Roman" w:hAnsi="Times New Roman" w:cs="Times New Roman"/>
                      <w:snapToGrid w:val="0"/>
                      <w:color w:val="auto"/>
                      <w:sz w:val="21"/>
                      <w:szCs w:val="18"/>
                      <w:lang w:eastAsia="zh-CN"/>
                    </w:rPr>
                    <w:t>；</w:t>
                  </w:r>
                </w:p>
                <w:p w14:paraId="50B3BF35">
                  <w:pPr>
                    <w:widowControl/>
                    <w:autoSpaceDE w:val="0"/>
                    <w:autoSpaceDN w:val="0"/>
                    <w:adjustRightInd w:val="0"/>
                    <w:snapToGrid w:val="0"/>
                    <w:jc w:val="both"/>
                    <w:rPr>
                      <w:rFonts w:hint="eastAsia" w:ascii="Times New Roman" w:hAnsi="Times New Roman" w:eastAsia="宋体" w:cs="Times New Roman"/>
                      <w:snapToGrid w:val="0"/>
                      <w:color w:val="auto"/>
                      <w:sz w:val="21"/>
                      <w:szCs w:val="18"/>
                      <w:lang w:eastAsia="zh-CN"/>
                    </w:rPr>
                  </w:pPr>
                  <w:r>
                    <w:rPr>
                      <w:rFonts w:hint="eastAsia" w:ascii="Times New Roman" w:hAnsi="Times New Roman" w:cs="Times New Roman"/>
                      <w:snapToGrid w:val="0"/>
                      <w:color w:val="auto"/>
                      <w:sz w:val="21"/>
                      <w:szCs w:val="18"/>
                      <w:lang w:val="en-US" w:eastAsia="zh-CN"/>
                    </w:rPr>
                    <w:t>4、</w:t>
                  </w:r>
                  <w:r>
                    <w:rPr>
                      <w:rFonts w:hint="eastAsia" w:ascii="Times New Roman" w:hAnsi="Times New Roman" w:eastAsia="宋体" w:cs="Times New Roman"/>
                      <w:snapToGrid w:val="0"/>
                      <w:color w:val="auto"/>
                      <w:sz w:val="21"/>
                      <w:szCs w:val="18"/>
                    </w:rPr>
                    <w:t>厂区地面全部硬化或绿化，无成片裸露土地</w:t>
                  </w:r>
                  <w:r>
                    <w:rPr>
                      <w:rFonts w:hint="eastAsia" w:cs="Times New Roman"/>
                      <w:snapToGrid w:val="0"/>
                      <w:color w:val="auto"/>
                      <w:sz w:val="21"/>
                      <w:szCs w:val="18"/>
                      <w:lang w:eastAsia="zh-CN"/>
                    </w:rPr>
                    <w:t>；</w:t>
                  </w:r>
                </w:p>
                <w:p w14:paraId="56935E5F">
                  <w:pPr>
                    <w:widowControl/>
                    <w:autoSpaceDE w:val="0"/>
                    <w:autoSpaceDN w:val="0"/>
                    <w:adjustRightInd w:val="0"/>
                    <w:snapToGrid w:val="0"/>
                    <w:jc w:val="both"/>
                    <w:rPr>
                      <w:rFonts w:hint="default" w:ascii="Times New Roman" w:hAnsi="Times New Roman" w:cs="Times New Roman"/>
                      <w:snapToGrid w:val="0"/>
                      <w:color w:val="auto"/>
                      <w:sz w:val="21"/>
                      <w:szCs w:val="18"/>
                      <w:lang w:val="en-US" w:eastAsia="zh-CN"/>
                    </w:rPr>
                  </w:pPr>
                  <w:r>
                    <w:rPr>
                      <w:rFonts w:hint="eastAsia" w:ascii="Times New Roman" w:hAnsi="Times New Roman" w:cs="Times New Roman"/>
                      <w:snapToGrid w:val="0"/>
                      <w:color w:val="auto"/>
                      <w:sz w:val="21"/>
                      <w:szCs w:val="18"/>
                      <w:lang w:val="en-US" w:eastAsia="zh-CN"/>
                    </w:rPr>
                    <w:t>5、本项目不涉及。</w:t>
                  </w:r>
                </w:p>
              </w:tc>
              <w:tc>
                <w:tcPr>
                  <w:tcW w:w="535" w:type="pct"/>
                  <w:shd w:val="clear" w:color="auto" w:fill="auto"/>
                  <w:noWrap w:val="0"/>
                  <w:vAlign w:val="center"/>
                </w:tcPr>
                <w:p w14:paraId="37D535D3">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符合</w:t>
                  </w:r>
                </w:p>
              </w:tc>
            </w:tr>
            <w:tr w14:paraId="69285D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shd w:val="clear" w:color="auto" w:fill="auto"/>
                  <w:noWrap w:val="0"/>
                  <w:vAlign w:val="center"/>
                </w:tcPr>
                <w:p w14:paraId="45CA4670">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排放限值</w:t>
                  </w:r>
                </w:p>
              </w:tc>
              <w:tc>
                <w:tcPr>
                  <w:tcW w:w="2326" w:type="pct"/>
                  <w:gridSpan w:val="2"/>
                  <w:shd w:val="clear" w:color="auto" w:fill="auto"/>
                  <w:noWrap w:val="0"/>
                  <w:vAlign w:val="center"/>
                </w:tcPr>
                <w:p w14:paraId="09A1689D">
                  <w:pPr>
                    <w:widowControl/>
                    <w:autoSpaceDE w:val="0"/>
                    <w:autoSpaceDN w:val="0"/>
                    <w:adjustRightInd w:val="0"/>
                    <w:snapToGrid w:val="0"/>
                    <w:jc w:val="center"/>
                    <w:rPr>
                      <w:rFonts w:hint="eastAsia" w:ascii="Times New Roman" w:hAnsi="Times New Roman" w:eastAsia="宋体" w:cs="Times New Roman"/>
                      <w:snapToGrid w:val="0"/>
                      <w:color w:val="auto"/>
                      <w:sz w:val="21"/>
                      <w:szCs w:val="18"/>
                    </w:rPr>
                  </w:pPr>
                  <w:r>
                    <w:rPr>
                      <w:rFonts w:hint="eastAsia" w:ascii="Times New Roman" w:hAnsi="Times New Roman" w:eastAsia="宋体" w:cs="Times New Roman"/>
                      <w:snapToGrid w:val="0"/>
                      <w:color w:val="auto"/>
                      <w:sz w:val="21"/>
                      <w:szCs w:val="18"/>
                    </w:rPr>
                    <w:t>全厂PM、NMHC有组织排放浓度分别不高于10、</w:t>
                  </w:r>
                  <w:r>
                    <w:rPr>
                      <w:rFonts w:hint="eastAsia" w:cs="Times New Roman"/>
                      <w:snapToGrid w:val="0"/>
                      <w:color w:val="auto"/>
                      <w:sz w:val="21"/>
                      <w:szCs w:val="18"/>
                      <w:lang w:val="en-US" w:eastAsia="zh-CN"/>
                    </w:rPr>
                    <w:t>3</w:t>
                  </w:r>
                  <w:r>
                    <w:rPr>
                      <w:rFonts w:hint="eastAsia" w:ascii="Times New Roman" w:hAnsi="Times New Roman" w:eastAsia="宋体" w:cs="Times New Roman"/>
                      <w:snapToGrid w:val="0"/>
                      <w:color w:val="auto"/>
                      <w:sz w:val="21"/>
                      <w:szCs w:val="18"/>
                    </w:rPr>
                    <w:t>0mg/</w:t>
                  </w:r>
                  <w:r>
                    <w:rPr>
                      <w:rFonts w:hint="eastAsia" w:cs="Times New Roman"/>
                      <w:snapToGrid w:val="0"/>
                      <w:color w:val="auto"/>
                      <w:sz w:val="21"/>
                      <w:szCs w:val="18"/>
                      <w:lang w:val="en-US" w:eastAsia="zh-CN"/>
                    </w:rPr>
                    <w:t>m</w:t>
                  </w:r>
                  <w:r>
                    <w:rPr>
                      <w:rFonts w:hint="eastAsia" w:cs="Times New Roman"/>
                      <w:snapToGrid w:val="0"/>
                      <w:color w:val="auto"/>
                      <w:sz w:val="21"/>
                      <w:szCs w:val="18"/>
                      <w:vertAlign w:val="superscript"/>
                      <w:lang w:val="en-US" w:eastAsia="zh-CN"/>
                    </w:rPr>
                    <w:t>3</w:t>
                  </w:r>
                  <w:r>
                    <w:rPr>
                      <w:rFonts w:hint="eastAsia" w:ascii="Times New Roman" w:hAnsi="Times New Roman" w:eastAsia="宋体" w:cs="Times New Roman"/>
                      <w:snapToGrid w:val="0"/>
                      <w:color w:val="auto"/>
                      <w:sz w:val="21"/>
                      <w:szCs w:val="18"/>
                    </w:rPr>
                    <w:t>。铅蓄电池铅及其化合物、硫酸雾排放浓度不高于0.3、5mg/m</w:t>
                  </w:r>
                  <w:r>
                    <w:rPr>
                      <w:rFonts w:hint="eastAsia" w:ascii="Times New Roman" w:hAnsi="Times New Roman" w:eastAsia="宋体" w:cs="Times New Roman"/>
                      <w:snapToGrid w:val="0"/>
                      <w:color w:val="auto"/>
                      <w:sz w:val="21"/>
                      <w:szCs w:val="18"/>
                      <w:vertAlign w:val="superscript"/>
                    </w:rPr>
                    <w:t>3</w:t>
                  </w:r>
                  <w:r>
                    <w:rPr>
                      <w:rFonts w:hint="eastAsia" w:ascii="Times New Roman" w:hAnsi="Times New Roman" w:eastAsia="宋体" w:cs="Times New Roman"/>
                      <w:snapToGrid w:val="0"/>
                      <w:color w:val="auto"/>
                      <w:sz w:val="21"/>
                      <w:szCs w:val="18"/>
                    </w:rPr>
                    <w:t>。</w:t>
                  </w:r>
                </w:p>
              </w:tc>
              <w:tc>
                <w:tcPr>
                  <w:tcW w:w="1485" w:type="pct"/>
                  <w:shd w:val="clear" w:color="auto" w:fill="auto"/>
                  <w:noWrap w:val="0"/>
                  <w:vAlign w:val="center"/>
                </w:tcPr>
                <w:p w14:paraId="10703AA3">
                  <w:pPr>
                    <w:widowControl/>
                    <w:autoSpaceDE w:val="0"/>
                    <w:autoSpaceDN w:val="0"/>
                    <w:adjustRightInd w:val="0"/>
                    <w:snapToGrid w:val="0"/>
                    <w:jc w:val="both"/>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本项目不涉及</w:t>
                  </w:r>
                  <w:r>
                    <w:rPr>
                      <w:rFonts w:hint="eastAsia" w:ascii="Times New Roman" w:hAnsi="Times New Roman" w:eastAsia="宋体" w:cs="Times New Roman"/>
                      <w:snapToGrid w:val="0"/>
                      <w:color w:val="auto"/>
                      <w:sz w:val="21"/>
                      <w:szCs w:val="18"/>
                    </w:rPr>
                    <w:t>PM、NMHC</w:t>
                  </w:r>
                  <w:r>
                    <w:rPr>
                      <w:rFonts w:hint="eastAsia" w:cs="Times New Roman"/>
                      <w:snapToGrid w:val="0"/>
                      <w:color w:val="auto"/>
                      <w:sz w:val="21"/>
                      <w:szCs w:val="18"/>
                      <w:lang w:eastAsia="zh-CN"/>
                    </w:rPr>
                    <w:t>的</w:t>
                  </w:r>
                  <w:r>
                    <w:rPr>
                      <w:rFonts w:hint="eastAsia" w:cs="Times New Roman"/>
                      <w:snapToGrid w:val="0"/>
                      <w:color w:val="auto"/>
                      <w:sz w:val="21"/>
                      <w:szCs w:val="18"/>
                      <w:lang w:val="en-US" w:eastAsia="zh-CN"/>
                    </w:rPr>
                    <w:t>产生及排放。</w:t>
                  </w:r>
                </w:p>
              </w:tc>
              <w:tc>
                <w:tcPr>
                  <w:tcW w:w="535" w:type="pct"/>
                  <w:shd w:val="clear" w:color="auto" w:fill="auto"/>
                  <w:noWrap w:val="0"/>
                  <w:vAlign w:val="center"/>
                </w:tcPr>
                <w:p w14:paraId="472D7C8D">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不涉及</w:t>
                  </w:r>
                </w:p>
              </w:tc>
            </w:tr>
            <w:tr w14:paraId="71CDEA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52" w:type="pct"/>
                  <w:shd w:val="clear" w:color="auto" w:fill="auto"/>
                  <w:noWrap w:val="0"/>
                  <w:vAlign w:val="center"/>
                </w:tcPr>
                <w:p w14:paraId="7F88F4C5">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监测监控水平</w:t>
                  </w:r>
                </w:p>
              </w:tc>
              <w:tc>
                <w:tcPr>
                  <w:tcW w:w="2326" w:type="pct"/>
                  <w:gridSpan w:val="2"/>
                  <w:shd w:val="clear" w:color="auto" w:fill="auto"/>
                  <w:noWrap w:val="0"/>
                  <w:vAlign w:val="center"/>
                </w:tcPr>
                <w:p w14:paraId="77640155">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1</w:t>
                  </w:r>
                  <w:r>
                    <w:rPr>
                      <w:rFonts w:hint="eastAsia" w:ascii="Times New Roman" w:hAnsi="Times New Roman" w:eastAsia="宋体" w:cs="Times New Roman"/>
                      <w:snapToGrid w:val="0"/>
                      <w:color w:val="auto"/>
                      <w:sz w:val="21"/>
                      <w:szCs w:val="18"/>
                      <w:lang w:val="en-US" w:eastAsia="zh-CN"/>
                    </w:rPr>
                    <w:t>.有组织排放口按排污许可、环境影响评价或环境现状评估等要求安装烟气排放自动监控设施(CEMS)，并按要求与省厅联网</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重点排污单位风量大于10000m</w:t>
                  </w:r>
                  <w:r>
                    <w:rPr>
                      <w:rFonts w:hint="eastAsia" w:ascii="Times New Roman" w:hAnsi="Times New Roman" w:eastAsia="宋体" w:cs="Times New Roman"/>
                      <w:snapToGrid w:val="0"/>
                      <w:color w:val="auto"/>
                      <w:sz w:val="21"/>
                      <w:szCs w:val="18"/>
                      <w:vertAlign w:val="superscript"/>
                      <w:lang w:val="en-US" w:eastAsia="zh-CN"/>
                    </w:rPr>
                    <w:t>2</w:t>
                  </w:r>
                  <w:r>
                    <w:rPr>
                      <w:rFonts w:hint="eastAsia" w:ascii="Times New Roman" w:hAnsi="Times New Roman" w:eastAsia="宋体" w:cs="Times New Roman"/>
                      <w:snapToGrid w:val="0"/>
                      <w:color w:val="auto"/>
                      <w:sz w:val="21"/>
                      <w:szCs w:val="18"/>
                      <w:lang w:val="en-US" w:eastAsia="zh-CN"/>
                    </w:rPr>
                    <w:t>/h的主要排放口安装NMHC在线监测设施(FID检测器)并按要求与省厅联网</w:t>
                  </w:r>
                  <w:r>
                    <w:rPr>
                      <w:rFonts w:hint="eastAsia" w:cs="Times New Roman"/>
                      <w:snapToGrid w:val="0"/>
                      <w:color w:val="auto"/>
                      <w:sz w:val="21"/>
                      <w:szCs w:val="18"/>
                      <w:vertAlign w:val="baseline"/>
                      <w:lang w:val="en-US" w:eastAsia="zh-CN"/>
                    </w:rPr>
                    <w:t>；</w:t>
                  </w:r>
                  <w:r>
                    <w:rPr>
                      <w:rFonts w:hint="eastAsia" w:ascii="Times New Roman" w:hAnsi="Times New Roman" w:eastAsia="宋体" w:cs="Times New Roman"/>
                      <w:snapToGrid w:val="0"/>
                      <w:color w:val="auto"/>
                      <w:sz w:val="21"/>
                      <w:szCs w:val="18"/>
                      <w:lang w:val="en-US" w:eastAsia="zh-CN"/>
                    </w:rPr>
                    <w:t>其他企业NMHC初始排放速率大于2kgM且排放口风量大于20000m/h的废气排放口安装NMHC在线监测设施(FID检测器)，并按要求</w:t>
                  </w:r>
                </w:p>
                <w:p w14:paraId="31BED62F">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ascii="Times New Roman" w:hAnsi="Times New Roman" w:eastAsia="宋体" w:cs="Times New Roman"/>
                      <w:snapToGrid w:val="0"/>
                      <w:color w:val="auto"/>
                      <w:sz w:val="21"/>
                      <w:szCs w:val="18"/>
                      <w:lang w:val="en-US" w:eastAsia="zh-CN"/>
                    </w:rPr>
                    <w:t>与省厅联网</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在线监测数据至少保存最近12个月的1分钟均值、36个月的1小时均值及60个月的日均值和月均值。(投产或安装时间不满一年以上的企业，以现有数据为准)</w:t>
                  </w:r>
                  <w:r>
                    <w:rPr>
                      <w:rFonts w:hint="eastAsia" w:cs="Times New Roman"/>
                      <w:snapToGrid w:val="0"/>
                      <w:color w:val="auto"/>
                      <w:sz w:val="21"/>
                      <w:szCs w:val="18"/>
                      <w:lang w:val="en-US" w:eastAsia="zh-CN"/>
                    </w:rPr>
                    <w:t>；</w:t>
                  </w:r>
                </w:p>
                <w:p w14:paraId="335EE635">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ascii="Times New Roman" w:hAnsi="Times New Roman" w:eastAsia="宋体" w:cs="Times New Roman"/>
                      <w:snapToGrid w:val="0"/>
                      <w:color w:val="auto"/>
                      <w:sz w:val="21"/>
                      <w:szCs w:val="18"/>
                      <w:lang w:val="en-US" w:eastAsia="zh-CN"/>
                    </w:rPr>
                    <w:t>2.按生态环境部门要求规范设置废气排放口标志牌、二维码标识和采样平台、采样孔</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各废气排放口按照排污许可要求开展自行监测</w:t>
                  </w:r>
                  <w:r>
                    <w:rPr>
                      <w:rFonts w:hint="eastAsia" w:cs="Times New Roman"/>
                      <w:snapToGrid w:val="0"/>
                      <w:color w:val="auto"/>
                      <w:sz w:val="21"/>
                      <w:szCs w:val="18"/>
                      <w:lang w:val="en-US" w:eastAsia="zh-CN"/>
                    </w:rPr>
                    <w:t>；</w:t>
                  </w:r>
                </w:p>
                <w:p w14:paraId="619F3245">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ascii="Times New Roman" w:hAnsi="Times New Roman" w:eastAsia="宋体" w:cs="Times New Roman"/>
                      <w:snapToGrid w:val="0"/>
                      <w:color w:val="auto"/>
                      <w:sz w:val="21"/>
                      <w:szCs w:val="18"/>
                      <w:lang w:val="en-US" w:eastAsia="zh-CN"/>
                    </w:rPr>
                    <w:t>3.厂内未安装在线监控的涉气生产设施主要投料口安装高清视频监控系统，视频监控数据保存6个月以上。</w:t>
                  </w:r>
                </w:p>
              </w:tc>
              <w:tc>
                <w:tcPr>
                  <w:tcW w:w="1485" w:type="pct"/>
                  <w:shd w:val="clear" w:color="auto" w:fill="auto"/>
                  <w:noWrap w:val="0"/>
                  <w:vAlign w:val="center"/>
                </w:tcPr>
                <w:p w14:paraId="155CCF03">
                  <w:pPr>
                    <w:widowControl/>
                    <w:autoSpaceDE w:val="0"/>
                    <w:autoSpaceDN w:val="0"/>
                    <w:adjustRightInd w:val="0"/>
                    <w:snapToGrid w:val="0"/>
                    <w:jc w:val="both"/>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本项目不涉及有组织排放口、不涉及涉气生产工序，无需设置标准化废气排放口标识牌、无需安装在线监控等。</w:t>
                  </w:r>
                </w:p>
              </w:tc>
              <w:tc>
                <w:tcPr>
                  <w:tcW w:w="535" w:type="pct"/>
                  <w:shd w:val="clear" w:color="auto" w:fill="auto"/>
                  <w:noWrap w:val="0"/>
                  <w:vAlign w:val="center"/>
                </w:tcPr>
                <w:p w14:paraId="59A3F0F0">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不涉及</w:t>
                  </w:r>
                </w:p>
              </w:tc>
            </w:tr>
            <w:tr w14:paraId="4D71C4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52" w:type="pct"/>
                  <w:vMerge w:val="restart"/>
                  <w:shd w:val="clear" w:color="auto" w:fill="auto"/>
                  <w:noWrap w:val="0"/>
                  <w:vAlign w:val="center"/>
                </w:tcPr>
                <w:p w14:paraId="4DA7DC0B">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环境管理水平</w:t>
                  </w:r>
                </w:p>
              </w:tc>
              <w:tc>
                <w:tcPr>
                  <w:tcW w:w="594" w:type="pct"/>
                  <w:shd w:val="clear" w:color="auto" w:fill="auto"/>
                  <w:noWrap w:val="0"/>
                  <w:vAlign w:val="center"/>
                </w:tcPr>
                <w:p w14:paraId="089CF2F5">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环保档案</w:t>
                  </w:r>
                </w:p>
              </w:tc>
              <w:tc>
                <w:tcPr>
                  <w:tcW w:w="1732" w:type="pct"/>
                  <w:shd w:val="clear" w:color="auto" w:fill="auto"/>
                  <w:noWrap w:val="0"/>
                  <w:vAlign w:val="center"/>
                </w:tcPr>
                <w:p w14:paraId="1DFEDB92">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eastAsia="zh-CN"/>
                    </w:rPr>
                  </w:pPr>
                  <w:r>
                    <w:rPr>
                      <w:rFonts w:hint="eastAsia" w:ascii="Times New Roman" w:hAnsi="Times New Roman" w:eastAsia="宋体" w:cs="Times New Roman"/>
                      <w:snapToGrid w:val="0"/>
                      <w:color w:val="auto"/>
                      <w:sz w:val="21"/>
                      <w:szCs w:val="18"/>
                    </w:rPr>
                    <w:t>1.环评批复文件和竣工环保验收文件或环境现状评估备案证明</w:t>
                  </w:r>
                  <w:r>
                    <w:rPr>
                      <w:rFonts w:hint="eastAsia" w:cs="Times New Roman"/>
                      <w:snapToGrid w:val="0"/>
                      <w:color w:val="auto"/>
                      <w:sz w:val="21"/>
                      <w:szCs w:val="18"/>
                      <w:lang w:eastAsia="zh-CN"/>
                    </w:rPr>
                    <w:t>；</w:t>
                  </w:r>
                  <w:r>
                    <w:rPr>
                      <w:rFonts w:hint="eastAsia" w:ascii="Times New Roman" w:hAnsi="Times New Roman" w:eastAsia="宋体" w:cs="Times New Roman"/>
                      <w:snapToGrid w:val="0"/>
                      <w:color w:val="auto"/>
                      <w:sz w:val="21"/>
                      <w:szCs w:val="18"/>
                    </w:rPr>
                    <w:t>2.国家版排污许可证</w:t>
                  </w:r>
                  <w:r>
                    <w:rPr>
                      <w:rFonts w:hint="eastAsia" w:cs="Times New Roman"/>
                      <w:snapToGrid w:val="0"/>
                      <w:color w:val="auto"/>
                      <w:sz w:val="21"/>
                      <w:szCs w:val="18"/>
                      <w:lang w:eastAsia="zh-CN"/>
                    </w:rPr>
                    <w:t>；</w:t>
                  </w:r>
                </w:p>
                <w:p w14:paraId="1FD5A2F8">
                  <w:pPr>
                    <w:widowControl/>
                    <w:autoSpaceDE w:val="0"/>
                    <w:autoSpaceDN w:val="0"/>
                    <w:adjustRightInd w:val="0"/>
                    <w:snapToGrid w:val="0"/>
                    <w:jc w:val="center"/>
                    <w:rPr>
                      <w:rFonts w:hint="eastAsia" w:ascii="Times New Roman" w:hAnsi="Times New Roman" w:eastAsia="宋体" w:cs="Times New Roman"/>
                      <w:snapToGrid w:val="0"/>
                      <w:color w:val="auto"/>
                      <w:sz w:val="21"/>
                      <w:szCs w:val="18"/>
                    </w:rPr>
                  </w:pPr>
                  <w:r>
                    <w:rPr>
                      <w:rFonts w:hint="eastAsia" w:ascii="Times New Roman" w:hAnsi="Times New Roman" w:eastAsia="宋体" w:cs="Times New Roman"/>
                      <w:snapToGrid w:val="0"/>
                      <w:color w:val="auto"/>
                      <w:sz w:val="21"/>
                      <w:szCs w:val="18"/>
                    </w:rPr>
                    <w:t>3.环境管理制度(有组织、无组织排放长效管理机制，主要包括日常操作规程、岗位责任制度、污染物排放公示制度和定期巡查维护制度等)</w:t>
                  </w:r>
                  <w:r>
                    <w:rPr>
                      <w:rFonts w:hint="eastAsia" w:cs="Times New Roman"/>
                      <w:snapToGrid w:val="0"/>
                      <w:color w:val="auto"/>
                      <w:sz w:val="21"/>
                      <w:szCs w:val="18"/>
                      <w:lang w:eastAsia="zh-CN"/>
                    </w:rPr>
                    <w:t>；</w:t>
                  </w:r>
                  <w:r>
                    <w:rPr>
                      <w:rFonts w:hint="eastAsia" w:ascii="Times New Roman" w:hAnsi="Times New Roman" w:eastAsia="宋体" w:cs="Times New Roman"/>
                      <w:snapToGrid w:val="0"/>
                      <w:color w:val="auto"/>
                      <w:sz w:val="21"/>
                      <w:szCs w:val="18"/>
                    </w:rPr>
                    <w:t>4.废气污染治理设施稳定运行管理规程</w:t>
                  </w:r>
                  <w:r>
                    <w:rPr>
                      <w:rFonts w:hint="eastAsia" w:cs="Times New Roman"/>
                      <w:snapToGrid w:val="0"/>
                      <w:color w:val="auto"/>
                      <w:sz w:val="21"/>
                      <w:szCs w:val="18"/>
                      <w:lang w:eastAsia="zh-CN"/>
                    </w:rPr>
                    <w:t>；</w:t>
                  </w:r>
                  <w:r>
                    <w:rPr>
                      <w:rFonts w:hint="eastAsia" w:ascii="Times New Roman" w:hAnsi="Times New Roman" w:eastAsia="宋体" w:cs="Times New Roman"/>
                      <w:snapToGrid w:val="0"/>
                      <w:color w:val="auto"/>
                      <w:sz w:val="21"/>
                      <w:szCs w:val="18"/>
                    </w:rPr>
                    <w:t>5.一年内废气监测报告(符合排污许可证监测项目及频次要求)。</w:t>
                  </w:r>
                </w:p>
              </w:tc>
              <w:tc>
                <w:tcPr>
                  <w:tcW w:w="1485" w:type="pct"/>
                  <w:vMerge w:val="restart"/>
                  <w:shd w:val="clear" w:color="auto" w:fill="auto"/>
                  <w:noWrap w:val="0"/>
                  <w:vAlign w:val="center"/>
                </w:tcPr>
                <w:p w14:paraId="73251D7B">
                  <w:pPr>
                    <w:widowControl/>
                    <w:autoSpaceDE w:val="0"/>
                    <w:autoSpaceDN w:val="0"/>
                    <w:adjustRightInd w:val="0"/>
                    <w:snapToGrid w:val="0"/>
                    <w:jc w:val="both"/>
                    <w:rPr>
                      <w:rFonts w:hint="default" w:ascii="Times New Roman" w:hAnsi="Times New Roman" w:eastAsia="宋体" w:cs="Times New Roman"/>
                      <w:snapToGrid w:val="0"/>
                      <w:color w:val="auto"/>
                      <w:sz w:val="21"/>
                      <w:szCs w:val="18"/>
                      <w:lang w:val="en-US" w:eastAsia="zh-CN"/>
                    </w:rPr>
                  </w:pPr>
                  <w:r>
                    <w:rPr>
                      <w:rFonts w:hint="eastAsia" w:ascii="Times New Roman" w:hAnsi="宋体"/>
                      <w:color w:val="auto"/>
                      <w:sz w:val="21"/>
                      <w:szCs w:val="21"/>
                      <w:lang w:val="en-US" w:eastAsia="zh-CN"/>
                    </w:rPr>
                    <w:t>本项目建成后应按照环境管理水平要求建立环保档案、台账记录，并配备具备相应的环境管理能力的专职环保人员。</w:t>
                  </w:r>
                </w:p>
              </w:tc>
              <w:tc>
                <w:tcPr>
                  <w:tcW w:w="535" w:type="pct"/>
                  <w:vMerge w:val="restart"/>
                  <w:shd w:val="clear" w:color="auto" w:fill="auto"/>
                  <w:noWrap w:val="0"/>
                  <w:vAlign w:val="center"/>
                </w:tcPr>
                <w:p w14:paraId="07FFCA85">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相符</w:t>
                  </w:r>
                </w:p>
              </w:tc>
            </w:tr>
            <w:tr w14:paraId="6A42F67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vMerge w:val="continue"/>
                  <w:shd w:val="clear" w:color="auto" w:fill="auto"/>
                  <w:noWrap w:val="0"/>
                  <w:vAlign w:val="center"/>
                </w:tcPr>
                <w:p w14:paraId="7EDD9ACC">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p>
              </w:tc>
              <w:tc>
                <w:tcPr>
                  <w:tcW w:w="594" w:type="pct"/>
                  <w:shd w:val="clear" w:color="auto" w:fill="auto"/>
                  <w:noWrap w:val="0"/>
                  <w:vAlign w:val="center"/>
                </w:tcPr>
                <w:p w14:paraId="5A126B93">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台账记录</w:t>
                  </w:r>
                </w:p>
              </w:tc>
              <w:tc>
                <w:tcPr>
                  <w:tcW w:w="1732" w:type="pct"/>
                  <w:shd w:val="clear" w:color="auto" w:fill="auto"/>
                  <w:noWrap w:val="0"/>
                  <w:vAlign w:val="center"/>
                </w:tcPr>
                <w:p w14:paraId="40C12F41">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1</w:t>
                  </w:r>
                  <w:r>
                    <w:rPr>
                      <w:rFonts w:hint="eastAsia" w:ascii="Times New Roman" w:hAnsi="Times New Roman" w:eastAsia="宋体" w:cs="Times New Roman"/>
                      <w:snapToGrid w:val="0"/>
                      <w:color w:val="auto"/>
                      <w:sz w:val="21"/>
                      <w:szCs w:val="18"/>
                      <w:lang w:val="en-US" w:eastAsia="zh-CN"/>
                    </w:rPr>
                    <w:t>.生产设施运行管理信息(生产时间、运行负荷、产品产量等)</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2.废气污染治理设施运行、维护、管理信息(包括但不限于废气收集系统和污染治理设施的名称规格、设计参数、运行参数、巡检记录、污染治理易耗品与药剂用量(吸附剂、催化剂、脱硫剂、台账|脱硝剂、过滤耗材等)、操作记录以及维护记录、运行要求等)</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记录3.监测记录信息(主要污染排放口废气排放记录等)</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4.主要原辅材料消耗记录</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5.燃料消耗记录</w:t>
                  </w:r>
                  <w:r>
                    <w:rPr>
                      <w:rFonts w:hint="eastAsia" w:cs="Times New Roman"/>
                      <w:snapToGrid w:val="0"/>
                      <w:color w:val="auto"/>
                      <w:sz w:val="21"/>
                      <w:szCs w:val="18"/>
                      <w:lang w:val="en-US" w:eastAsia="zh-CN"/>
                    </w:rPr>
                    <w:t>；</w:t>
                  </w:r>
                  <w:r>
                    <w:rPr>
                      <w:rFonts w:hint="eastAsia" w:ascii="Times New Roman" w:hAnsi="Times New Roman" w:eastAsia="宋体" w:cs="Times New Roman"/>
                      <w:snapToGrid w:val="0"/>
                      <w:color w:val="auto"/>
                      <w:sz w:val="21"/>
                      <w:szCs w:val="18"/>
                      <w:lang w:val="en-US" w:eastAsia="zh-CN"/>
                    </w:rPr>
                    <w:t>6.固废、危废暂存、处理记录。</w:t>
                  </w:r>
                </w:p>
              </w:tc>
              <w:tc>
                <w:tcPr>
                  <w:tcW w:w="1485" w:type="pct"/>
                  <w:vMerge w:val="continue"/>
                  <w:shd w:val="clear" w:color="auto" w:fill="auto"/>
                  <w:noWrap w:val="0"/>
                  <w:vAlign w:val="center"/>
                </w:tcPr>
                <w:p w14:paraId="7BBECAD8">
                  <w:pPr>
                    <w:widowControl/>
                    <w:autoSpaceDE w:val="0"/>
                    <w:autoSpaceDN w:val="0"/>
                    <w:adjustRightInd w:val="0"/>
                    <w:snapToGrid w:val="0"/>
                    <w:jc w:val="both"/>
                    <w:rPr>
                      <w:rFonts w:hint="eastAsia" w:ascii="Times New Roman" w:hAnsi="Times New Roman" w:eastAsia="宋体" w:cs="Times New Roman"/>
                      <w:snapToGrid w:val="0"/>
                      <w:color w:val="auto"/>
                      <w:sz w:val="21"/>
                      <w:szCs w:val="18"/>
                      <w:lang w:val="en-US" w:eastAsia="zh-CN"/>
                    </w:rPr>
                  </w:pPr>
                </w:p>
              </w:tc>
              <w:tc>
                <w:tcPr>
                  <w:tcW w:w="535" w:type="pct"/>
                  <w:vMerge w:val="continue"/>
                  <w:shd w:val="clear" w:color="auto" w:fill="auto"/>
                  <w:noWrap w:val="0"/>
                  <w:vAlign w:val="center"/>
                </w:tcPr>
                <w:p w14:paraId="3F285B4B">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p>
              </w:tc>
            </w:tr>
            <w:tr w14:paraId="152D8E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vMerge w:val="continue"/>
                  <w:shd w:val="clear" w:color="auto" w:fill="auto"/>
                  <w:noWrap w:val="0"/>
                  <w:vAlign w:val="center"/>
                </w:tcPr>
                <w:p w14:paraId="2376DC04">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p>
              </w:tc>
              <w:tc>
                <w:tcPr>
                  <w:tcW w:w="594" w:type="pct"/>
                  <w:shd w:val="clear" w:color="auto" w:fill="auto"/>
                  <w:noWrap w:val="0"/>
                  <w:vAlign w:val="center"/>
                </w:tcPr>
                <w:p w14:paraId="6E26CFD0">
                  <w:pPr>
                    <w:widowControl/>
                    <w:autoSpaceDE w:val="0"/>
                    <w:autoSpaceDN w:val="0"/>
                    <w:adjustRightInd w:val="0"/>
                    <w:snapToGrid w:val="0"/>
                    <w:jc w:val="center"/>
                    <w:rPr>
                      <w:rFonts w:hint="default" w:ascii="Times New Roman" w:hAnsi="Times New Roman" w:eastAsia="宋体" w:cs="Times New Roman"/>
                      <w:snapToGrid w:val="0"/>
                      <w:color w:val="auto"/>
                      <w:sz w:val="21"/>
                      <w:szCs w:val="18"/>
                      <w:highlight w:val="none"/>
                      <w:lang w:val="en-US" w:eastAsia="zh-CN"/>
                    </w:rPr>
                  </w:pPr>
                  <w:r>
                    <w:rPr>
                      <w:rFonts w:hint="eastAsia" w:cs="Times New Roman"/>
                      <w:snapToGrid w:val="0"/>
                      <w:color w:val="auto"/>
                      <w:sz w:val="21"/>
                      <w:szCs w:val="18"/>
                      <w:highlight w:val="none"/>
                      <w:lang w:val="en-US" w:eastAsia="zh-CN"/>
                    </w:rPr>
                    <w:t>人员配置</w:t>
                  </w:r>
                </w:p>
              </w:tc>
              <w:tc>
                <w:tcPr>
                  <w:tcW w:w="1732" w:type="pct"/>
                  <w:shd w:val="clear" w:color="auto" w:fill="auto"/>
                  <w:noWrap w:val="0"/>
                  <w:vAlign w:val="center"/>
                </w:tcPr>
                <w:p w14:paraId="49ABC7D7">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r>
                    <w:rPr>
                      <w:rFonts w:hint="eastAsia" w:ascii="Times New Roman" w:hAnsi="Times New Roman" w:eastAsia="宋体" w:cs="Times New Roman"/>
                      <w:snapToGrid w:val="0"/>
                      <w:color w:val="auto"/>
                      <w:sz w:val="21"/>
                      <w:szCs w:val="18"/>
                      <w:lang w:val="en-US" w:eastAsia="zh-CN"/>
                    </w:rPr>
                    <w:t>设置环保部门，配备专职环保人员，并具备相应的环境管理能力（包括但不限于学历、培训、从业经验等）。</w:t>
                  </w:r>
                </w:p>
              </w:tc>
              <w:tc>
                <w:tcPr>
                  <w:tcW w:w="1485" w:type="pct"/>
                  <w:vMerge w:val="continue"/>
                  <w:shd w:val="clear" w:color="auto" w:fill="auto"/>
                  <w:noWrap w:val="0"/>
                  <w:vAlign w:val="center"/>
                </w:tcPr>
                <w:p w14:paraId="0F3FD78B">
                  <w:pPr>
                    <w:widowControl/>
                    <w:autoSpaceDE w:val="0"/>
                    <w:autoSpaceDN w:val="0"/>
                    <w:adjustRightInd w:val="0"/>
                    <w:snapToGrid w:val="0"/>
                    <w:jc w:val="both"/>
                    <w:rPr>
                      <w:rFonts w:hint="eastAsia" w:ascii="Times New Roman" w:hAnsi="Times New Roman" w:eastAsia="宋体" w:cs="Times New Roman"/>
                      <w:snapToGrid w:val="0"/>
                      <w:color w:val="auto"/>
                      <w:sz w:val="21"/>
                      <w:szCs w:val="18"/>
                      <w:lang w:val="en-US" w:eastAsia="zh-CN"/>
                    </w:rPr>
                  </w:pPr>
                </w:p>
              </w:tc>
              <w:tc>
                <w:tcPr>
                  <w:tcW w:w="535" w:type="pct"/>
                  <w:vMerge w:val="continue"/>
                  <w:shd w:val="clear" w:color="auto" w:fill="auto"/>
                  <w:noWrap w:val="0"/>
                  <w:vAlign w:val="center"/>
                </w:tcPr>
                <w:p w14:paraId="3D93BF1B">
                  <w:pPr>
                    <w:widowControl/>
                    <w:autoSpaceDE w:val="0"/>
                    <w:autoSpaceDN w:val="0"/>
                    <w:adjustRightInd w:val="0"/>
                    <w:snapToGrid w:val="0"/>
                    <w:jc w:val="center"/>
                    <w:rPr>
                      <w:rFonts w:hint="eastAsia" w:ascii="Times New Roman" w:hAnsi="Times New Roman" w:eastAsia="宋体" w:cs="Times New Roman"/>
                      <w:snapToGrid w:val="0"/>
                      <w:color w:val="auto"/>
                      <w:sz w:val="21"/>
                      <w:szCs w:val="18"/>
                      <w:lang w:val="en-US" w:eastAsia="zh-CN"/>
                    </w:rPr>
                  </w:pPr>
                </w:p>
              </w:tc>
            </w:tr>
            <w:tr w14:paraId="1FF99D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shd w:val="clear" w:color="auto" w:fill="auto"/>
                  <w:noWrap w:val="0"/>
                  <w:vAlign w:val="center"/>
                </w:tcPr>
                <w:p w14:paraId="3771811D">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color w:val="auto"/>
                      <w:sz w:val="21"/>
                      <w:szCs w:val="21"/>
                      <w:lang w:val="en-US" w:eastAsia="zh-CN"/>
                    </w:rPr>
                    <w:t>运输方式</w:t>
                  </w:r>
                </w:p>
              </w:tc>
              <w:tc>
                <w:tcPr>
                  <w:tcW w:w="2326" w:type="pct"/>
                  <w:gridSpan w:val="2"/>
                  <w:shd w:val="clear" w:color="auto" w:fill="auto"/>
                  <w:noWrap w:val="0"/>
                  <w:vAlign w:val="center"/>
                </w:tcPr>
                <w:p w14:paraId="66561CFB">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ascii="宋体" w:hAnsi="宋体" w:eastAsia="宋体" w:cs="宋体"/>
                      <w:b w:val="0"/>
                      <w:bCs w:val="0"/>
                      <w:color w:val="auto"/>
                      <w:sz w:val="21"/>
                      <w:szCs w:val="21"/>
                    </w:rPr>
                  </w:pPr>
                  <w:r>
                    <w:rPr>
                      <w:rFonts w:ascii="宋体" w:hAnsi="宋体" w:eastAsia="宋体" w:cs="宋体"/>
                      <w:b w:val="0"/>
                      <w:bCs w:val="0"/>
                      <w:color w:val="auto"/>
                      <w:kern w:val="0"/>
                      <w:sz w:val="21"/>
                      <w:szCs w:val="21"/>
                      <w:lang w:val="en-US" w:eastAsia="zh-CN" w:bidi="ar-SA"/>
                    </w:rPr>
                    <w:t>1.</w:t>
                  </w:r>
                  <w:r>
                    <w:rPr>
                      <w:rFonts w:ascii="宋体" w:hAnsi="宋体" w:eastAsia="宋体" w:cs="宋体"/>
                      <w:b w:val="0"/>
                      <w:bCs w:val="0"/>
                      <w:color w:val="auto"/>
                      <w:sz w:val="21"/>
                      <w:szCs w:val="21"/>
                    </w:rPr>
                    <w:t>物料、产品公路运输全部使用国五及以上排放标准的重型载货车辆（含燃气）或新能源车辆；</w:t>
                  </w:r>
                </w:p>
                <w:p w14:paraId="2A3A1339">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firstLine="0" w:firstLineChars="0"/>
                    <w:jc w:val="both"/>
                    <w:textAlignment w:val="auto"/>
                    <w:rPr>
                      <w:rFonts w:ascii="宋体" w:hAnsi="宋体" w:eastAsia="宋体" w:cs="宋体"/>
                      <w:b w:val="0"/>
                      <w:bCs w:val="0"/>
                      <w:color w:val="auto"/>
                      <w:sz w:val="21"/>
                      <w:szCs w:val="21"/>
                    </w:rPr>
                  </w:pPr>
                  <w:r>
                    <w:rPr>
                      <w:rFonts w:hint="default" w:ascii="TimesNewRomanPSMT" w:hAnsi="TimesNewRomanPSMT" w:eastAsia="TimesNewRomanPSMT" w:cs="TimesNewRomanPSMT"/>
                      <w:b w:val="0"/>
                      <w:bCs w:val="0"/>
                      <w:color w:val="auto"/>
                      <w:sz w:val="21"/>
                      <w:szCs w:val="21"/>
                    </w:rPr>
                    <w:t>2.</w:t>
                  </w:r>
                  <w:r>
                    <w:rPr>
                      <w:rFonts w:ascii="宋体" w:hAnsi="宋体" w:eastAsia="宋体" w:cs="宋体"/>
                      <w:b w:val="0"/>
                      <w:bCs w:val="0"/>
                      <w:color w:val="auto"/>
                      <w:sz w:val="21"/>
                      <w:szCs w:val="21"/>
                    </w:rPr>
                    <w:t>厂区车辆全部达国五及以上排放标准（含燃气）或使用新能源车辆；</w:t>
                  </w:r>
                </w:p>
                <w:p w14:paraId="0CA59FD1">
                  <w:pPr>
                    <w:pStyle w:val="22"/>
                    <w:keepNext w:val="0"/>
                    <w:keepLines w:val="0"/>
                    <w:pageBreakBefore w:val="0"/>
                    <w:widowControl w:val="0"/>
                    <w:numPr>
                      <w:ilvl w:val="0"/>
                      <w:numId w:val="0"/>
                    </w:numPr>
                    <w:kinsoku/>
                    <w:wordWrap/>
                    <w:overflowPunct/>
                    <w:topLinePunct w:val="0"/>
                    <w:autoSpaceDE/>
                    <w:autoSpaceDN/>
                    <w:bidi w:val="0"/>
                    <w:adjustRightInd w:val="0"/>
                    <w:snapToGrid w:val="0"/>
                    <w:spacing w:before="0" w:beforeLines="0"/>
                    <w:ind w:left="0" w:leftChars="0" w:firstLine="0" w:firstLineChars="0"/>
                    <w:jc w:val="both"/>
                    <w:textAlignment w:val="auto"/>
                    <w:rPr>
                      <w:rFonts w:hint="eastAsia" w:ascii="Times New Roman" w:hAnsi="Times New Roman" w:eastAsia="宋体" w:cs="Times New Roman"/>
                      <w:color w:val="auto"/>
                      <w:kern w:val="0"/>
                      <w:sz w:val="21"/>
                      <w:szCs w:val="21"/>
                      <w:lang w:val="en-US" w:eastAsia="zh-CN" w:bidi="ar-SA"/>
                    </w:rPr>
                  </w:pPr>
                  <w:r>
                    <w:rPr>
                      <w:rFonts w:hint="default" w:ascii="TimesNewRomanPSMT" w:hAnsi="TimesNewRomanPSMT" w:eastAsia="TimesNewRomanPSMT" w:cs="TimesNewRomanPSMT"/>
                      <w:b w:val="0"/>
                      <w:bCs w:val="0"/>
                      <w:color w:val="auto"/>
                      <w:sz w:val="21"/>
                      <w:szCs w:val="21"/>
                    </w:rPr>
                    <w:t>3.</w:t>
                  </w:r>
                  <w:r>
                    <w:rPr>
                      <w:rFonts w:ascii="宋体" w:hAnsi="宋体" w:eastAsia="宋体" w:cs="宋体"/>
                      <w:b w:val="0"/>
                      <w:bCs w:val="0"/>
                      <w:color w:val="auto"/>
                      <w:sz w:val="21"/>
                      <w:szCs w:val="21"/>
                    </w:rPr>
                    <w:t>厂内非道路移动机械达到国三及以上排放标准或使用新能源机械。</w:t>
                  </w:r>
                </w:p>
              </w:tc>
              <w:tc>
                <w:tcPr>
                  <w:tcW w:w="1485" w:type="pct"/>
                  <w:shd w:val="clear" w:color="auto" w:fill="auto"/>
                  <w:noWrap w:val="0"/>
                  <w:vAlign w:val="center"/>
                </w:tcPr>
                <w:p w14:paraId="5CD93066">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both"/>
                    <w:textAlignment w:val="auto"/>
                    <w:rPr>
                      <w:rFonts w:hint="eastAsia" w:ascii="Times New Roman" w:hAnsi="Times New Roman" w:eastAsia="宋体" w:cs="Times New Roman"/>
                      <w:color w:val="auto"/>
                      <w:kern w:val="0"/>
                      <w:sz w:val="21"/>
                      <w:szCs w:val="21"/>
                      <w:lang w:val="en-US" w:eastAsia="zh-CN" w:bidi="ar-SA"/>
                    </w:rPr>
                  </w:pPr>
                  <w:r>
                    <w:rPr>
                      <w:color w:val="auto"/>
                      <w:sz w:val="21"/>
                      <w:szCs w:val="21"/>
                    </w:rPr>
                    <w:t>企业</w:t>
                  </w:r>
                  <w:r>
                    <w:rPr>
                      <w:rFonts w:hint="eastAsia"/>
                      <w:color w:val="auto"/>
                      <w:sz w:val="21"/>
                      <w:szCs w:val="21"/>
                    </w:rPr>
                    <w:t>公路运输</w:t>
                  </w:r>
                  <w:r>
                    <w:rPr>
                      <w:color w:val="auto"/>
                      <w:sz w:val="21"/>
                      <w:szCs w:val="21"/>
                    </w:rPr>
                    <w:t>、厂内运输及厂区内</w:t>
                  </w:r>
                  <w:r>
                    <w:rPr>
                      <w:rFonts w:hint="eastAsia"/>
                      <w:color w:val="auto"/>
                      <w:sz w:val="21"/>
                      <w:szCs w:val="21"/>
                    </w:rPr>
                    <w:t>非</w:t>
                  </w:r>
                  <w:r>
                    <w:rPr>
                      <w:color w:val="auto"/>
                      <w:sz w:val="21"/>
                      <w:szCs w:val="21"/>
                    </w:rPr>
                    <w:t>道路移动车</w:t>
                  </w:r>
                  <w:r>
                    <w:rPr>
                      <w:rFonts w:hint="eastAsia"/>
                      <w:color w:val="auto"/>
                      <w:sz w:val="21"/>
                      <w:szCs w:val="21"/>
                    </w:rPr>
                    <w:t>辆等</w:t>
                  </w:r>
                  <w:r>
                    <w:rPr>
                      <w:color w:val="auto"/>
                      <w:sz w:val="21"/>
                      <w:szCs w:val="21"/>
                    </w:rPr>
                    <w:t>所用相关车辆符合相关要求</w:t>
                  </w:r>
                  <w:r>
                    <w:rPr>
                      <w:rFonts w:hint="eastAsia"/>
                      <w:color w:val="auto"/>
                      <w:sz w:val="21"/>
                      <w:szCs w:val="21"/>
                      <w:lang w:eastAsia="zh-CN"/>
                    </w:rPr>
                    <w:t>。</w:t>
                  </w:r>
                </w:p>
              </w:tc>
              <w:tc>
                <w:tcPr>
                  <w:tcW w:w="535" w:type="pct"/>
                  <w:shd w:val="clear" w:color="auto" w:fill="auto"/>
                  <w:noWrap w:val="0"/>
                  <w:vAlign w:val="center"/>
                </w:tcPr>
                <w:p w14:paraId="1CCEB02D">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相符</w:t>
                  </w:r>
                </w:p>
              </w:tc>
            </w:tr>
            <w:tr w14:paraId="16C504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2" w:type="pct"/>
                  <w:tcBorders>
                    <w:bottom w:val="single" w:color="auto" w:sz="8" w:space="0"/>
                  </w:tcBorders>
                  <w:shd w:val="clear" w:color="auto" w:fill="auto"/>
                  <w:noWrap w:val="0"/>
                  <w:vAlign w:val="center"/>
                </w:tcPr>
                <w:p w14:paraId="7F76347B">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Times New Roman" w:eastAsia="宋体" w:cs="Times New Roman"/>
                      <w:color w:val="auto"/>
                      <w:kern w:val="0"/>
                      <w:sz w:val="21"/>
                      <w:szCs w:val="21"/>
                      <w:lang w:val="en-US" w:eastAsia="zh-CN" w:bidi="ar-SA"/>
                    </w:rPr>
                  </w:pPr>
                  <w:r>
                    <w:rPr>
                      <w:rFonts w:hint="eastAsia"/>
                      <w:color w:val="auto"/>
                      <w:sz w:val="21"/>
                      <w:szCs w:val="21"/>
                      <w:lang w:val="en-US" w:eastAsia="zh-CN"/>
                    </w:rPr>
                    <w:t>运输监管</w:t>
                  </w:r>
                </w:p>
              </w:tc>
              <w:tc>
                <w:tcPr>
                  <w:tcW w:w="2326" w:type="pct"/>
                  <w:gridSpan w:val="2"/>
                  <w:tcBorders>
                    <w:bottom w:val="single" w:color="auto" w:sz="8" w:space="0"/>
                  </w:tcBorders>
                  <w:shd w:val="clear" w:color="auto" w:fill="auto"/>
                  <w:noWrap w:val="0"/>
                  <w:vAlign w:val="center"/>
                </w:tcPr>
                <w:p w14:paraId="45143001">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both"/>
                    <w:textAlignment w:val="auto"/>
                    <w:rPr>
                      <w:rFonts w:hint="eastAsia" w:ascii="Times New Roman" w:hAnsi="Times New Roman" w:eastAsia="宋体" w:cs="Times New Roman"/>
                      <w:color w:val="auto"/>
                      <w:kern w:val="0"/>
                      <w:sz w:val="21"/>
                      <w:szCs w:val="21"/>
                      <w:lang w:val="en-US" w:eastAsia="zh-CN" w:bidi="ar-SA"/>
                    </w:rPr>
                  </w:pPr>
                  <w:r>
                    <w:rPr>
                      <w:rFonts w:ascii="宋体" w:hAnsi="宋体" w:eastAsia="宋体" w:cs="宋体"/>
                      <w:b w:val="0"/>
                      <w:bCs w:val="0"/>
                      <w:color w:val="auto"/>
                      <w:sz w:val="21"/>
                      <w:szCs w:val="21"/>
                    </w:rPr>
                    <w:t>日均进出货物</w:t>
                  </w:r>
                  <w:r>
                    <w:rPr>
                      <w:rFonts w:ascii="TimesNewRomanPSMT" w:hAnsi="TimesNewRomanPSMT" w:eastAsia="TimesNewRomanPSMT" w:cs="TimesNewRomanPSMT"/>
                      <w:b w:val="0"/>
                      <w:bCs w:val="0"/>
                      <w:color w:val="auto"/>
                      <w:sz w:val="21"/>
                      <w:szCs w:val="21"/>
                    </w:rPr>
                    <w:t>150</w:t>
                  </w:r>
                  <w:r>
                    <w:rPr>
                      <w:rFonts w:ascii="宋体" w:hAnsi="宋体" w:eastAsia="宋体" w:cs="宋体"/>
                      <w:b w:val="0"/>
                      <w:bCs w:val="0"/>
                      <w:color w:val="auto"/>
                      <w:sz w:val="21"/>
                      <w:szCs w:val="21"/>
                    </w:rPr>
                    <w:t>吨（或载货车辆日进出</w:t>
                  </w:r>
                  <w:r>
                    <w:rPr>
                      <w:rFonts w:hint="default" w:ascii="TimesNewRomanPSMT" w:hAnsi="TimesNewRomanPSMT" w:eastAsia="TimesNewRomanPSMT" w:cs="TimesNewRomanPSMT"/>
                      <w:b w:val="0"/>
                      <w:bCs w:val="0"/>
                      <w:color w:val="auto"/>
                      <w:sz w:val="21"/>
                      <w:szCs w:val="21"/>
                    </w:rPr>
                    <w:t>10</w:t>
                  </w:r>
                  <w:r>
                    <w:rPr>
                      <w:rFonts w:ascii="宋体" w:hAnsi="宋体" w:eastAsia="宋体" w:cs="宋体"/>
                      <w:b w:val="0"/>
                      <w:bCs w:val="0"/>
                      <w:color w:val="auto"/>
                      <w:sz w:val="21"/>
                      <w:szCs w:val="21"/>
                    </w:rPr>
                    <w:t>辆次）及以上（货物包括原料、辅料、燃料、产品和其他与生产相关物料）的企业，或纳入我省重点行业年产值</w:t>
                  </w:r>
                  <w:r>
                    <w:rPr>
                      <w:rFonts w:hint="default" w:ascii="TimesNewRomanPSMT" w:hAnsi="TimesNewRomanPSMT" w:eastAsia="TimesNewRomanPSMT" w:cs="TimesNewRomanPSMT"/>
                      <w:b w:val="0"/>
                      <w:bCs w:val="0"/>
                      <w:color w:val="auto"/>
                      <w:sz w:val="21"/>
                      <w:szCs w:val="21"/>
                    </w:rPr>
                    <w:t>1000</w:t>
                  </w:r>
                  <w:r>
                    <w:rPr>
                      <w:rFonts w:ascii="宋体" w:hAnsi="宋体" w:eastAsia="宋体" w:cs="宋体"/>
                      <w:b w:val="0"/>
                      <w:bCs w:val="0"/>
                      <w:color w:val="auto"/>
                      <w:sz w:val="21"/>
                      <w:szCs w:val="21"/>
                    </w:rPr>
                    <w:t>万及以上的企业，应参照《重污染天气重点行业移动源应急管理技术指南》建立门禁视频监控系统和电子台账；其他企业建立门禁视频监控系统和台账。</w:t>
                  </w:r>
                </w:p>
              </w:tc>
              <w:tc>
                <w:tcPr>
                  <w:tcW w:w="1485" w:type="pct"/>
                  <w:tcBorders>
                    <w:bottom w:val="single" w:color="auto" w:sz="8" w:space="0"/>
                  </w:tcBorders>
                  <w:shd w:val="clear" w:color="auto" w:fill="auto"/>
                  <w:noWrap w:val="0"/>
                  <w:vAlign w:val="center"/>
                </w:tcPr>
                <w:p w14:paraId="55FC1CA5">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both"/>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宋体"/>
                      <w:color w:val="auto"/>
                      <w:sz w:val="21"/>
                      <w:szCs w:val="21"/>
                      <w:lang w:val="en-US" w:eastAsia="zh-CN"/>
                    </w:rPr>
                    <w:t>根据运输监管要求，本项目</w:t>
                  </w:r>
                  <w:r>
                    <w:rPr>
                      <w:rFonts w:ascii="宋体" w:hAnsi="宋体" w:eastAsia="宋体" w:cs="宋体"/>
                      <w:b w:val="0"/>
                      <w:bCs w:val="0"/>
                      <w:color w:val="auto"/>
                      <w:sz w:val="21"/>
                      <w:szCs w:val="21"/>
                    </w:rPr>
                    <w:t>建立门禁视频监控系统和台账</w:t>
                  </w:r>
                  <w:r>
                    <w:rPr>
                      <w:rFonts w:hint="eastAsia" w:ascii="Times New Roman" w:hAnsi="宋体"/>
                      <w:color w:val="auto"/>
                      <w:sz w:val="21"/>
                      <w:szCs w:val="21"/>
                      <w:lang w:val="en-US" w:eastAsia="zh-CN"/>
                    </w:rPr>
                    <w:t>。</w:t>
                  </w:r>
                </w:p>
              </w:tc>
              <w:tc>
                <w:tcPr>
                  <w:tcW w:w="535" w:type="pct"/>
                  <w:tcBorders>
                    <w:bottom w:val="single" w:color="auto" w:sz="8" w:space="0"/>
                  </w:tcBorders>
                  <w:shd w:val="clear" w:color="auto" w:fill="auto"/>
                  <w:noWrap w:val="0"/>
                  <w:vAlign w:val="center"/>
                </w:tcPr>
                <w:p w14:paraId="40FEE7F2">
                  <w:pPr>
                    <w:widowControl/>
                    <w:autoSpaceDE w:val="0"/>
                    <w:autoSpaceDN w:val="0"/>
                    <w:adjustRightInd w:val="0"/>
                    <w:snapToGrid w:val="0"/>
                    <w:jc w:val="center"/>
                    <w:rPr>
                      <w:rFonts w:hint="default" w:ascii="Times New Roman" w:hAnsi="Times New Roman" w:eastAsia="宋体" w:cs="Times New Roman"/>
                      <w:snapToGrid w:val="0"/>
                      <w:color w:val="auto"/>
                      <w:sz w:val="21"/>
                      <w:szCs w:val="18"/>
                      <w:lang w:val="en-US" w:eastAsia="zh-CN"/>
                    </w:rPr>
                  </w:pPr>
                  <w:r>
                    <w:rPr>
                      <w:rFonts w:hint="eastAsia" w:cs="Times New Roman"/>
                      <w:snapToGrid w:val="0"/>
                      <w:color w:val="auto"/>
                      <w:sz w:val="21"/>
                      <w:szCs w:val="18"/>
                      <w:lang w:val="en-US" w:eastAsia="zh-CN"/>
                    </w:rPr>
                    <w:t>限度</w:t>
                  </w:r>
                </w:p>
              </w:tc>
            </w:tr>
          </w:tbl>
          <w:p w14:paraId="280AA806">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bCs/>
                <w:color w:val="auto"/>
                <w:kern w:val="0"/>
                <w:sz w:val="24"/>
                <w:szCs w:val="24"/>
              </w:rPr>
            </w:pPr>
            <w:r>
              <w:rPr>
                <w:color w:val="auto"/>
                <w:sz w:val="24"/>
                <w:szCs w:val="24"/>
              </w:rPr>
              <w:t>由上表可知，本项目</w:t>
            </w:r>
            <w:r>
              <w:rPr>
                <w:rFonts w:hint="eastAsia"/>
                <w:color w:val="auto"/>
                <w:sz w:val="24"/>
                <w:szCs w:val="24"/>
              </w:rPr>
              <w:t>符合</w:t>
            </w:r>
            <w:r>
              <w:rPr>
                <w:rFonts w:ascii="Times New Roman" w:hAnsi="宋体" w:cs="Times New Roman"/>
                <w:bCs/>
                <w:color w:val="auto"/>
                <w:sz w:val="24"/>
              </w:rPr>
              <w:t>《</w:t>
            </w:r>
            <w:r>
              <w:rPr>
                <w:rFonts w:hint="eastAsia" w:ascii="Times New Roman" w:hAnsi="宋体" w:cs="Times New Roman"/>
                <w:bCs/>
                <w:color w:val="auto"/>
                <w:sz w:val="24"/>
              </w:rPr>
              <w:t>河南省重污染天气</w:t>
            </w:r>
            <w:r>
              <w:rPr>
                <w:rFonts w:hint="eastAsia" w:hAnsi="宋体" w:cs="Times New Roman"/>
                <w:bCs/>
                <w:color w:val="auto"/>
                <w:sz w:val="24"/>
                <w:lang w:val="en-US" w:eastAsia="zh-CN"/>
              </w:rPr>
              <w:t>重点行业</w:t>
            </w:r>
            <w:r>
              <w:rPr>
                <w:rFonts w:hint="eastAsia" w:ascii="Times New Roman" w:hAnsi="宋体" w:cs="Times New Roman"/>
                <w:bCs/>
                <w:color w:val="auto"/>
                <w:sz w:val="24"/>
              </w:rPr>
              <w:t>应急减排措施制定技术指南</w:t>
            </w:r>
            <w:r>
              <w:rPr>
                <w:rFonts w:ascii="Times New Roman" w:hAnsi="宋体" w:cs="Times New Roman"/>
                <w:bCs/>
                <w:color w:val="auto"/>
                <w:sz w:val="24"/>
              </w:rPr>
              <w:t>》</w:t>
            </w:r>
            <w:r>
              <w:rPr>
                <w:rFonts w:hint="eastAsia" w:ascii="Times New Roman" w:hAnsi="宋体" w:cs="Times New Roman"/>
                <w:bCs/>
                <w:color w:val="auto"/>
                <w:sz w:val="24"/>
              </w:rPr>
              <w:t>（</w:t>
            </w:r>
            <w:r>
              <w:rPr>
                <w:rFonts w:hint="eastAsia" w:hAnsi="宋体" w:cs="Times New Roman"/>
                <w:bCs/>
                <w:color w:val="auto"/>
                <w:sz w:val="24"/>
                <w:lang w:val="en-US" w:eastAsia="zh-CN"/>
              </w:rPr>
              <w:t>2024</w:t>
            </w:r>
            <w:r>
              <w:rPr>
                <w:rFonts w:hint="eastAsia" w:ascii="Times New Roman" w:hAnsi="宋体" w:cs="Times New Roman"/>
                <w:bCs/>
                <w:color w:val="auto"/>
                <w:sz w:val="24"/>
              </w:rPr>
              <w:t>年修订版）</w:t>
            </w:r>
            <w:r>
              <w:rPr>
                <w:rFonts w:ascii="Times New Roman" w:hAnsi="宋体" w:cs="Times New Roman"/>
                <w:color w:val="auto"/>
                <w:sz w:val="24"/>
              </w:rPr>
              <w:t>中</w:t>
            </w:r>
            <w:r>
              <w:rPr>
                <w:rFonts w:hint="eastAsia" w:ascii="Times New Roman" w:hAnsi="宋体" w:cs="Times New Roman"/>
                <w:color w:val="auto"/>
                <w:sz w:val="24"/>
                <w:lang w:val="en-US" w:eastAsia="zh-CN"/>
              </w:rPr>
              <w:t>电池</w:t>
            </w:r>
            <w:r>
              <w:rPr>
                <w:rFonts w:hint="eastAsia" w:ascii="Times New Roman" w:hAnsi="宋体" w:cs="Times New Roman"/>
                <w:color w:val="auto"/>
                <w:sz w:val="24"/>
                <w:lang w:val="pt-BR"/>
              </w:rPr>
              <w:t>制造行业</w:t>
            </w:r>
            <w:r>
              <w:rPr>
                <w:rFonts w:ascii="Times New Roman" w:hAnsi="宋体" w:cs="Times New Roman"/>
                <w:color w:val="auto"/>
                <w:sz w:val="24"/>
                <w:lang w:val="pt-BR"/>
              </w:rPr>
              <w:t>A</w:t>
            </w:r>
            <w:r>
              <w:rPr>
                <w:rFonts w:hint="eastAsia" w:ascii="Times New Roman" w:hAnsi="宋体" w:cs="Times New Roman"/>
                <w:color w:val="auto"/>
                <w:sz w:val="24"/>
                <w:lang w:val="pt-BR"/>
              </w:rPr>
              <w:t>级</w:t>
            </w:r>
            <w:r>
              <w:rPr>
                <w:rFonts w:hint="eastAsia" w:ascii="Times New Roman" w:hAnsi="宋体" w:cs="Times New Roman"/>
                <w:color w:val="auto"/>
                <w:sz w:val="24"/>
                <w:lang w:val="en-US" w:eastAsia="zh-CN"/>
              </w:rPr>
              <w:t>要求</w:t>
            </w:r>
            <w:r>
              <w:rPr>
                <w:rFonts w:hint="eastAsia"/>
                <w:bCs/>
                <w:color w:val="auto"/>
                <w:kern w:val="0"/>
                <w:sz w:val="24"/>
                <w:szCs w:val="24"/>
              </w:rPr>
              <w:t>。</w:t>
            </w:r>
          </w:p>
          <w:p w14:paraId="62CC29B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bCs/>
                <w:color w:val="auto"/>
                <w:kern w:val="0"/>
                <w:sz w:val="24"/>
                <w:szCs w:val="24"/>
              </w:rPr>
            </w:pPr>
          </w:p>
          <w:p w14:paraId="5F8E6125">
            <w:pPr>
              <w:pStyle w:val="10"/>
              <w:rPr>
                <w:rFonts w:hint="eastAsia"/>
                <w:bCs/>
                <w:color w:val="auto"/>
                <w:kern w:val="0"/>
                <w:sz w:val="24"/>
                <w:szCs w:val="24"/>
              </w:rPr>
            </w:pPr>
          </w:p>
          <w:p w14:paraId="3004EA46">
            <w:pPr>
              <w:pStyle w:val="10"/>
              <w:rPr>
                <w:rFonts w:hint="eastAsia"/>
                <w:bCs/>
                <w:color w:val="auto"/>
                <w:kern w:val="0"/>
                <w:sz w:val="24"/>
                <w:szCs w:val="24"/>
              </w:rPr>
            </w:pPr>
          </w:p>
          <w:p w14:paraId="2FB3CA42">
            <w:pPr>
              <w:pStyle w:val="10"/>
              <w:rPr>
                <w:rFonts w:hint="eastAsia"/>
                <w:bCs/>
                <w:color w:val="auto"/>
                <w:kern w:val="0"/>
                <w:sz w:val="24"/>
                <w:szCs w:val="24"/>
              </w:rPr>
            </w:pPr>
          </w:p>
          <w:p w14:paraId="3F88E38B">
            <w:pPr>
              <w:pStyle w:val="10"/>
              <w:rPr>
                <w:rFonts w:hint="eastAsia"/>
                <w:bCs/>
                <w:color w:val="auto"/>
                <w:kern w:val="0"/>
                <w:sz w:val="24"/>
                <w:szCs w:val="24"/>
              </w:rPr>
            </w:pPr>
          </w:p>
          <w:p w14:paraId="423D9609">
            <w:pPr>
              <w:pStyle w:val="10"/>
              <w:rPr>
                <w:rFonts w:hint="eastAsia"/>
                <w:bCs/>
                <w:color w:val="auto"/>
                <w:kern w:val="0"/>
                <w:sz w:val="24"/>
                <w:szCs w:val="24"/>
              </w:rPr>
            </w:pPr>
          </w:p>
          <w:p w14:paraId="2E1C0AE5">
            <w:pPr>
              <w:pStyle w:val="10"/>
              <w:rPr>
                <w:rFonts w:hint="eastAsia"/>
                <w:bCs/>
                <w:color w:val="auto"/>
                <w:kern w:val="0"/>
                <w:sz w:val="24"/>
                <w:szCs w:val="24"/>
              </w:rPr>
            </w:pPr>
          </w:p>
          <w:p w14:paraId="056EE3E7">
            <w:pPr>
              <w:pStyle w:val="10"/>
              <w:rPr>
                <w:rFonts w:hint="eastAsia"/>
                <w:bCs/>
                <w:color w:val="auto"/>
                <w:kern w:val="0"/>
                <w:sz w:val="24"/>
                <w:szCs w:val="24"/>
              </w:rPr>
            </w:pPr>
          </w:p>
          <w:p w14:paraId="2AD92F76">
            <w:pPr>
              <w:pStyle w:val="10"/>
              <w:rPr>
                <w:rFonts w:hint="eastAsia"/>
                <w:bCs/>
                <w:color w:val="auto"/>
                <w:kern w:val="0"/>
                <w:sz w:val="24"/>
                <w:szCs w:val="24"/>
              </w:rPr>
            </w:pPr>
          </w:p>
          <w:p w14:paraId="42B37E22">
            <w:pPr>
              <w:pStyle w:val="10"/>
              <w:rPr>
                <w:rFonts w:hint="eastAsia"/>
                <w:bCs/>
                <w:color w:val="auto"/>
                <w:kern w:val="0"/>
                <w:sz w:val="24"/>
                <w:szCs w:val="24"/>
              </w:rPr>
            </w:pPr>
          </w:p>
          <w:p w14:paraId="4735E389">
            <w:pPr>
              <w:pStyle w:val="10"/>
              <w:rPr>
                <w:rFonts w:hint="eastAsia"/>
                <w:bCs/>
                <w:color w:val="auto"/>
                <w:kern w:val="0"/>
                <w:sz w:val="24"/>
                <w:szCs w:val="24"/>
              </w:rPr>
            </w:pPr>
          </w:p>
          <w:p w14:paraId="32E7B6E1">
            <w:pPr>
              <w:pStyle w:val="10"/>
              <w:rPr>
                <w:rFonts w:hint="eastAsia"/>
                <w:bCs/>
                <w:color w:val="auto"/>
                <w:kern w:val="0"/>
                <w:sz w:val="24"/>
                <w:szCs w:val="24"/>
              </w:rPr>
            </w:pPr>
          </w:p>
          <w:p w14:paraId="1926A171">
            <w:pPr>
              <w:pStyle w:val="10"/>
              <w:rPr>
                <w:rFonts w:hint="eastAsia"/>
                <w:bCs/>
                <w:color w:val="auto"/>
                <w:kern w:val="0"/>
                <w:sz w:val="24"/>
                <w:szCs w:val="24"/>
              </w:rPr>
            </w:pPr>
          </w:p>
          <w:p w14:paraId="18B114C9">
            <w:pPr>
              <w:pStyle w:val="10"/>
              <w:ind w:left="0" w:leftChars="0" w:firstLine="0" w:firstLineChars="0"/>
              <w:rPr>
                <w:rFonts w:hint="eastAsia"/>
                <w:bCs/>
                <w:color w:val="auto"/>
                <w:kern w:val="0"/>
                <w:sz w:val="24"/>
                <w:szCs w:val="24"/>
              </w:rPr>
            </w:pPr>
          </w:p>
          <w:p w14:paraId="66B8557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bCs/>
                <w:color w:val="auto"/>
                <w:kern w:val="0"/>
                <w:sz w:val="24"/>
                <w:szCs w:val="24"/>
              </w:rPr>
            </w:pPr>
          </w:p>
          <w:p w14:paraId="7FF35B14">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bCs/>
                <w:color w:val="auto"/>
                <w:kern w:val="0"/>
                <w:sz w:val="24"/>
                <w:szCs w:val="24"/>
              </w:rPr>
            </w:pPr>
          </w:p>
          <w:p w14:paraId="3D29AF70">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bCs/>
                <w:color w:val="auto"/>
                <w:kern w:val="0"/>
                <w:sz w:val="24"/>
                <w:szCs w:val="24"/>
              </w:rPr>
            </w:pPr>
          </w:p>
          <w:p w14:paraId="204559C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bCs/>
                <w:color w:val="auto"/>
                <w:kern w:val="0"/>
                <w:sz w:val="24"/>
                <w:szCs w:val="24"/>
              </w:rPr>
            </w:pPr>
          </w:p>
          <w:p w14:paraId="50136ED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jc w:val="left"/>
              <w:textAlignment w:val="auto"/>
              <w:rPr>
                <w:rFonts w:hint="eastAsia"/>
                <w:bCs/>
                <w:color w:val="auto"/>
                <w:kern w:val="0"/>
                <w:sz w:val="24"/>
                <w:szCs w:val="24"/>
              </w:rPr>
            </w:pPr>
          </w:p>
          <w:p w14:paraId="47E85BC0">
            <w:pPr>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hint="eastAsia"/>
                <w:bCs/>
                <w:color w:val="auto"/>
                <w:kern w:val="0"/>
                <w:sz w:val="24"/>
                <w:szCs w:val="24"/>
                <w:lang w:val="en-US" w:eastAsia="zh-CN"/>
              </w:rPr>
            </w:pPr>
          </w:p>
          <w:p w14:paraId="303D336C">
            <w:pPr>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hint="eastAsia"/>
                <w:bCs/>
                <w:color w:val="auto"/>
                <w:kern w:val="0"/>
                <w:sz w:val="24"/>
                <w:szCs w:val="24"/>
                <w:lang w:val="en-US" w:eastAsia="zh-CN"/>
              </w:rPr>
            </w:pPr>
          </w:p>
          <w:p w14:paraId="306777A7">
            <w:pPr>
              <w:pStyle w:val="10"/>
              <w:rPr>
                <w:rFonts w:hint="eastAsia"/>
                <w:bCs/>
                <w:color w:val="auto"/>
                <w:kern w:val="0"/>
                <w:sz w:val="24"/>
                <w:szCs w:val="24"/>
                <w:lang w:val="en-US" w:eastAsia="zh-CN"/>
              </w:rPr>
            </w:pPr>
          </w:p>
          <w:p w14:paraId="45AAB7D1">
            <w:pPr>
              <w:pStyle w:val="10"/>
              <w:rPr>
                <w:rFonts w:hint="eastAsia"/>
                <w:bCs/>
                <w:color w:val="auto"/>
                <w:kern w:val="0"/>
                <w:sz w:val="24"/>
                <w:szCs w:val="24"/>
                <w:lang w:val="en-US" w:eastAsia="zh-CN"/>
              </w:rPr>
            </w:pPr>
          </w:p>
          <w:p w14:paraId="6B6B3B8F">
            <w:pPr>
              <w:pStyle w:val="10"/>
              <w:rPr>
                <w:rFonts w:hint="eastAsia"/>
                <w:bCs/>
                <w:color w:val="auto"/>
                <w:kern w:val="0"/>
                <w:sz w:val="24"/>
                <w:szCs w:val="24"/>
                <w:lang w:val="en-US" w:eastAsia="zh-CN"/>
              </w:rPr>
            </w:pPr>
          </w:p>
          <w:p w14:paraId="3C7565B7">
            <w:pPr>
              <w:pStyle w:val="10"/>
              <w:rPr>
                <w:rFonts w:hint="eastAsia"/>
                <w:bCs/>
                <w:color w:val="auto"/>
                <w:kern w:val="0"/>
                <w:sz w:val="24"/>
                <w:szCs w:val="24"/>
                <w:lang w:val="en-US" w:eastAsia="zh-CN"/>
              </w:rPr>
            </w:pPr>
          </w:p>
          <w:p w14:paraId="6329124C">
            <w:pPr>
              <w:pStyle w:val="10"/>
              <w:rPr>
                <w:rFonts w:hint="eastAsia"/>
                <w:bCs/>
                <w:color w:val="auto"/>
                <w:kern w:val="0"/>
                <w:sz w:val="24"/>
                <w:szCs w:val="24"/>
                <w:lang w:val="en-US" w:eastAsia="zh-CN"/>
              </w:rPr>
            </w:pPr>
          </w:p>
          <w:p w14:paraId="7A89E6DC">
            <w:pPr>
              <w:pStyle w:val="10"/>
              <w:rPr>
                <w:rFonts w:hint="eastAsia"/>
                <w:bCs/>
                <w:color w:val="auto"/>
                <w:kern w:val="0"/>
                <w:sz w:val="24"/>
                <w:szCs w:val="24"/>
                <w:lang w:val="en-US" w:eastAsia="zh-CN"/>
              </w:rPr>
            </w:pPr>
          </w:p>
          <w:p w14:paraId="51BD570C">
            <w:pPr>
              <w:pStyle w:val="10"/>
              <w:rPr>
                <w:rFonts w:hint="eastAsia"/>
                <w:bCs/>
                <w:color w:val="auto"/>
                <w:kern w:val="0"/>
                <w:sz w:val="24"/>
                <w:szCs w:val="24"/>
                <w:lang w:val="en-US" w:eastAsia="zh-CN"/>
              </w:rPr>
            </w:pPr>
          </w:p>
          <w:p w14:paraId="5C8E2065">
            <w:pPr>
              <w:pStyle w:val="10"/>
              <w:rPr>
                <w:rFonts w:hint="eastAsia"/>
                <w:bCs/>
                <w:color w:val="auto"/>
                <w:kern w:val="0"/>
                <w:sz w:val="24"/>
                <w:szCs w:val="24"/>
                <w:lang w:val="en-US" w:eastAsia="zh-CN"/>
              </w:rPr>
            </w:pPr>
          </w:p>
          <w:p w14:paraId="579B3F64">
            <w:pPr>
              <w:pStyle w:val="10"/>
              <w:rPr>
                <w:rFonts w:hint="eastAsia"/>
                <w:bCs/>
                <w:color w:val="auto"/>
                <w:kern w:val="0"/>
                <w:sz w:val="24"/>
                <w:szCs w:val="24"/>
                <w:lang w:val="en-US" w:eastAsia="zh-CN"/>
              </w:rPr>
            </w:pPr>
          </w:p>
          <w:p w14:paraId="3D4880A3">
            <w:pPr>
              <w:pStyle w:val="10"/>
              <w:rPr>
                <w:rFonts w:hint="eastAsia"/>
                <w:bCs/>
                <w:color w:val="auto"/>
                <w:kern w:val="0"/>
                <w:sz w:val="24"/>
                <w:szCs w:val="24"/>
                <w:lang w:val="en-US" w:eastAsia="zh-CN"/>
              </w:rPr>
            </w:pPr>
          </w:p>
          <w:p w14:paraId="1019CF05">
            <w:pPr>
              <w:pStyle w:val="10"/>
              <w:rPr>
                <w:rFonts w:hint="eastAsia"/>
                <w:bCs/>
                <w:color w:val="auto"/>
                <w:kern w:val="0"/>
                <w:sz w:val="24"/>
                <w:szCs w:val="24"/>
                <w:lang w:val="en-US" w:eastAsia="zh-CN"/>
              </w:rPr>
            </w:pPr>
          </w:p>
          <w:p w14:paraId="1A54C5E4">
            <w:pPr>
              <w:pStyle w:val="10"/>
              <w:rPr>
                <w:rFonts w:hint="eastAsia"/>
                <w:bCs/>
                <w:color w:val="auto"/>
                <w:kern w:val="0"/>
                <w:sz w:val="24"/>
                <w:szCs w:val="24"/>
                <w:lang w:val="en-US" w:eastAsia="zh-CN"/>
              </w:rPr>
            </w:pPr>
          </w:p>
        </w:tc>
      </w:tr>
    </w:tbl>
    <w:p w14:paraId="4F26B0EB">
      <w:pPr>
        <w:sectPr>
          <w:footerReference r:id="rId3" w:type="default"/>
          <w:pgSz w:w="11906" w:h="16838"/>
          <w:pgMar w:top="1440" w:right="1800" w:bottom="1440" w:left="1800" w:header="851" w:footer="992" w:gutter="0"/>
          <w:pgNumType w:fmt="decimal" w:start="1"/>
          <w:cols w:space="425" w:num="1"/>
          <w:docGrid w:type="lines" w:linePitch="312" w:charSpace="0"/>
        </w:sectPr>
      </w:pPr>
    </w:p>
    <w:p w14:paraId="55FC913B">
      <w:pPr>
        <w:pStyle w:val="16"/>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二、建设项目工程分析</w:t>
      </w:r>
    </w:p>
    <w:tbl>
      <w:tblPr>
        <w:tblStyle w:val="17"/>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8052"/>
      </w:tblGrid>
      <w:tr w14:paraId="287D5F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atLeast"/>
          <w:jc w:val="center"/>
        </w:trPr>
        <w:tc>
          <w:tcPr>
            <w:tcW w:w="275" w:type="pct"/>
            <w:noWrap w:val="0"/>
            <w:vAlign w:val="center"/>
          </w:tcPr>
          <w:p w14:paraId="3CAF6525">
            <w:pPr>
              <w:pStyle w:val="16"/>
              <w:adjustRightInd w:val="0"/>
              <w:snapToGrid w:val="0"/>
              <w:spacing w:before="0" w:beforeAutospacing="0" w:after="0" w:afterAutospacing="0"/>
              <w:jc w:val="center"/>
              <w:rPr>
                <w:rFonts w:ascii="Times New Roman" w:hAnsi="Times New Roman"/>
                <w:color w:val="auto"/>
                <w:sz w:val="21"/>
                <w:szCs w:val="21"/>
                <w:lang w:val="en-US" w:eastAsia="zh-CN"/>
              </w:rPr>
            </w:pPr>
            <w:r>
              <w:rPr>
                <w:rFonts w:ascii="Times New Roman"/>
                <w:color w:val="auto"/>
                <w:sz w:val="24"/>
                <w:szCs w:val="24"/>
                <w:lang w:val="en-US" w:eastAsia="zh-CN"/>
              </w:rPr>
              <w:t>建设内容</w:t>
            </w:r>
          </w:p>
        </w:tc>
        <w:tc>
          <w:tcPr>
            <w:tcW w:w="4724" w:type="pct"/>
            <w:noWrap w:val="0"/>
            <w:vAlign w:val="top"/>
          </w:tcPr>
          <w:p w14:paraId="1B0E3D0C">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rFonts w:hint="eastAsia" w:ascii="宋体" w:hAnsi="宋体"/>
                <w:b/>
                <w:bCs/>
                <w:color w:val="auto"/>
                <w:sz w:val="24"/>
              </w:rPr>
            </w:pPr>
            <w:bookmarkStart w:id="0" w:name="_Toc262219100"/>
            <w:r>
              <w:rPr>
                <w:rFonts w:hint="eastAsia" w:ascii="宋体" w:hAnsi="黑体"/>
                <w:b/>
                <w:bCs/>
                <w:color w:val="auto"/>
                <w:sz w:val="24"/>
              </w:rPr>
              <w:t>一、项目由来</w:t>
            </w:r>
          </w:p>
          <w:bookmarkEnd w:id="0"/>
          <w:p w14:paraId="1A78FF8F">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eastAsia="宋体"/>
                <w:color w:val="auto"/>
                <w:sz w:val="24"/>
                <w:szCs w:val="24"/>
                <w:lang w:val="en-US" w:eastAsia="zh-CN"/>
              </w:rPr>
            </w:pPr>
            <w:r>
              <w:rPr>
                <w:rFonts w:hint="eastAsia" w:ascii="Times New Roman" w:hAnsi="Times New Roman" w:cs="Times New Roman"/>
                <w:color w:val="auto"/>
                <w:sz w:val="24"/>
                <w:szCs w:val="24"/>
                <w:lang w:val="en-US" w:eastAsia="zh-CN"/>
              </w:rPr>
              <w:t>随着全球气候变暖问题加剧，各国相继提出“碳中和”时间表。镍氢电池作为绿色、可回收的二次电池，不含铅、镉等剧毒物质，符合清洁能源发展方向。本项目应运而生，在河南省新乡市延津县石婆固乡西秦庄村012号租赁现有厂房</w:t>
            </w:r>
            <w:r>
              <w:rPr>
                <w:rFonts w:hint="eastAsia" w:cs="Times New Roman"/>
                <w:color w:val="auto"/>
                <w:sz w:val="24"/>
                <w:szCs w:val="24"/>
                <w:lang w:val="en-US" w:eastAsia="zh-CN"/>
              </w:rPr>
              <w:t>1330</w:t>
            </w:r>
            <w:r>
              <w:rPr>
                <w:rFonts w:hint="eastAsia" w:ascii="Times New Roman" w:hAnsi="Times New Roman" w:cs="Times New Roman"/>
                <w:color w:val="auto"/>
                <w:sz w:val="24"/>
                <w:szCs w:val="24"/>
                <w:lang w:val="en-US" w:eastAsia="zh-CN"/>
              </w:rPr>
              <w:t>平方米，建设年产1000万只镍氢电池项目，其产品主要为日用电子设备中使用的电池</w:t>
            </w:r>
            <w:r>
              <w:rPr>
                <w:rFonts w:hint="eastAsia"/>
                <w:color w:val="auto"/>
                <w:sz w:val="24"/>
                <w:szCs w:val="24"/>
              </w:rPr>
              <w:t>。经现场查勘，项目利用现有厂房，设备未安装，不具备生产能力。</w:t>
            </w:r>
          </w:p>
          <w:p w14:paraId="111FFA36">
            <w:pPr>
              <w:keepNext w:val="0"/>
              <w:keepLines w:val="0"/>
              <w:pageBreakBefore w:val="0"/>
              <w:widowControl w:val="0"/>
              <w:kinsoku/>
              <w:wordWrap/>
              <w:overflowPunct/>
              <w:topLinePunct w:val="0"/>
              <w:autoSpaceDE/>
              <w:autoSpaceDN/>
              <w:bidi w:val="0"/>
              <w:adjustRightInd w:val="0"/>
              <w:snapToGrid w:val="0"/>
              <w:spacing w:before="157" w:beforeLines="50" w:line="360" w:lineRule="auto"/>
              <w:textAlignment w:val="auto"/>
              <w:rPr>
                <w:b/>
                <w:bCs/>
                <w:color w:val="auto"/>
                <w:sz w:val="24"/>
              </w:rPr>
            </w:pPr>
            <w:r>
              <w:rPr>
                <w:rFonts w:hint="eastAsia"/>
                <w:b/>
                <w:bCs/>
                <w:color w:val="auto"/>
                <w:sz w:val="24"/>
              </w:rPr>
              <w:t>二</w:t>
            </w:r>
            <w:r>
              <w:rPr>
                <w:b/>
                <w:bCs/>
                <w:color w:val="auto"/>
                <w:sz w:val="24"/>
              </w:rPr>
              <w:t>、工程内容及规模</w:t>
            </w:r>
          </w:p>
          <w:p w14:paraId="7FA11A41">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b/>
                <w:bCs/>
                <w:color w:val="auto"/>
                <w:sz w:val="24"/>
              </w:rPr>
            </w:pPr>
            <w:r>
              <w:rPr>
                <w:b/>
                <w:bCs/>
                <w:color w:val="auto"/>
                <w:sz w:val="24"/>
              </w:rPr>
              <w:t>1、项目概况</w:t>
            </w:r>
          </w:p>
          <w:p w14:paraId="4E504CB7">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Ansi="宋体"/>
                <w:color w:val="auto"/>
                <w:sz w:val="24"/>
              </w:rPr>
            </w:pPr>
            <w:r>
              <w:rPr>
                <w:rFonts w:hint="eastAsia" w:hAnsi="宋体"/>
                <w:color w:val="auto"/>
                <w:sz w:val="24"/>
                <w:lang w:val="en-US" w:eastAsia="zh-CN"/>
              </w:rPr>
              <w:t>本</w:t>
            </w:r>
            <w:r>
              <w:rPr>
                <w:rFonts w:hAnsi="宋体"/>
                <w:color w:val="auto"/>
                <w:sz w:val="24"/>
              </w:rPr>
              <w:t>项目的基本情况见表</w:t>
            </w:r>
            <w:r>
              <w:rPr>
                <w:rFonts w:hint="eastAsia"/>
                <w:color w:val="auto"/>
                <w:sz w:val="24"/>
                <w:lang w:val="en-US" w:eastAsia="zh-CN"/>
              </w:rPr>
              <w:t>6</w:t>
            </w:r>
            <w:r>
              <w:rPr>
                <w:rFonts w:hint="eastAsia" w:hAnsi="宋体"/>
                <w:color w:val="auto"/>
                <w:sz w:val="24"/>
              </w:rPr>
              <w:t>。</w:t>
            </w:r>
          </w:p>
          <w:p w14:paraId="061DA558">
            <w:pPr>
              <w:pStyle w:val="21"/>
              <w:keepNext w:val="0"/>
              <w:keepLines w:val="0"/>
              <w:pageBreakBefore w:val="0"/>
              <w:widowControl w:val="0"/>
              <w:kinsoku/>
              <w:wordWrap/>
              <w:overflowPunct/>
              <w:topLinePunct w:val="0"/>
              <w:autoSpaceDE/>
              <w:autoSpaceDN/>
              <w:bidi w:val="0"/>
              <w:spacing w:before="157" w:beforeLines="50" w:line="360" w:lineRule="auto"/>
              <w:ind w:left="0" w:leftChars="0" w:firstLine="0" w:firstLineChars="0"/>
              <w:jc w:val="center"/>
              <w:textAlignment w:val="auto"/>
              <w:rPr>
                <w:rFonts w:hint="eastAsia" w:ascii="Times New Roman" w:hAnsi="Times New Roman" w:eastAsia="黑体" w:cs="Times New Roman"/>
                <w:bCs/>
                <w:color w:val="auto"/>
                <w:kern w:val="2"/>
                <w:sz w:val="24"/>
                <w:szCs w:val="24"/>
                <w:lang w:val="en-US" w:eastAsia="zh-CN" w:bidi="ar-SA"/>
              </w:rPr>
            </w:pPr>
            <w:r>
              <w:rPr>
                <w:rFonts w:hint="eastAsia" w:ascii="Times New Roman" w:hAnsi="Times New Roman" w:eastAsia="黑体" w:cs="Times New Roman"/>
                <w:bCs/>
                <w:color w:val="auto"/>
                <w:kern w:val="2"/>
                <w:sz w:val="24"/>
                <w:szCs w:val="24"/>
                <w:lang w:val="en-US" w:eastAsia="zh-CN" w:bidi="ar-SA"/>
              </w:rPr>
              <w:t>表6     本项目基本情况</w:t>
            </w:r>
          </w:p>
          <w:tbl>
            <w:tblPr>
              <w:tblStyle w:val="17"/>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265"/>
              <w:gridCol w:w="5860"/>
            </w:tblGrid>
            <w:tr w14:paraId="5431316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tcBorders>
                    <w:top w:val="single" w:color="auto" w:sz="8" w:space="0"/>
                    <w:bottom w:val="single" w:color="auto" w:sz="8" w:space="0"/>
                  </w:tcBorders>
                  <w:noWrap w:val="0"/>
                  <w:vAlign w:val="center"/>
                </w:tcPr>
                <w:p w14:paraId="352ECB96">
                  <w:pPr>
                    <w:adjustRightInd w:val="0"/>
                    <w:snapToGrid w:val="0"/>
                    <w:jc w:val="center"/>
                    <w:rPr>
                      <w:b/>
                      <w:color w:val="auto"/>
                      <w:szCs w:val="21"/>
                    </w:rPr>
                  </w:pPr>
                  <w:r>
                    <w:rPr>
                      <w:rFonts w:hAnsi="宋体"/>
                      <w:b/>
                      <w:color w:val="auto"/>
                      <w:szCs w:val="21"/>
                    </w:rPr>
                    <w:t>序号</w:t>
                  </w:r>
                </w:p>
              </w:tc>
              <w:tc>
                <w:tcPr>
                  <w:tcW w:w="1361" w:type="dxa"/>
                  <w:tcBorders>
                    <w:top w:val="single" w:color="auto" w:sz="8" w:space="0"/>
                    <w:bottom w:val="single" w:color="auto" w:sz="8" w:space="0"/>
                  </w:tcBorders>
                  <w:noWrap w:val="0"/>
                  <w:vAlign w:val="center"/>
                </w:tcPr>
                <w:p w14:paraId="5C38B0CE">
                  <w:pPr>
                    <w:adjustRightInd w:val="0"/>
                    <w:snapToGrid w:val="0"/>
                    <w:jc w:val="center"/>
                    <w:rPr>
                      <w:b/>
                      <w:color w:val="auto"/>
                      <w:szCs w:val="21"/>
                    </w:rPr>
                  </w:pPr>
                  <w:r>
                    <w:rPr>
                      <w:rFonts w:hAnsi="宋体"/>
                      <w:b/>
                      <w:color w:val="auto"/>
                      <w:szCs w:val="21"/>
                    </w:rPr>
                    <w:t>项目</w:t>
                  </w:r>
                </w:p>
              </w:tc>
              <w:tc>
                <w:tcPr>
                  <w:tcW w:w="6435" w:type="dxa"/>
                  <w:tcBorders>
                    <w:top w:val="single" w:color="auto" w:sz="8" w:space="0"/>
                    <w:bottom w:val="single" w:color="auto" w:sz="8" w:space="0"/>
                  </w:tcBorders>
                  <w:noWrap w:val="0"/>
                  <w:vAlign w:val="center"/>
                </w:tcPr>
                <w:p w14:paraId="6EA01469">
                  <w:pPr>
                    <w:adjustRightInd w:val="0"/>
                    <w:snapToGrid w:val="0"/>
                    <w:jc w:val="center"/>
                    <w:rPr>
                      <w:b/>
                      <w:color w:val="auto"/>
                      <w:szCs w:val="21"/>
                    </w:rPr>
                  </w:pPr>
                  <w:r>
                    <w:rPr>
                      <w:rFonts w:hAnsi="宋体"/>
                      <w:b/>
                      <w:color w:val="auto"/>
                      <w:szCs w:val="21"/>
                    </w:rPr>
                    <w:t>内容</w:t>
                  </w:r>
                </w:p>
              </w:tc>
            </w:tr>
            <w:tr w14:paraId="7F7D970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tcBorders>
                    <w:top w:val="single" w:color="auto" w:sz="8" w:space="0"/>
                  </w:tcBorders>
                  <w:noWrap w:val="0"/>
                  <w:vAlign w:val="center"/>
                </w:tcPr>
                <w:p w14:paraId="32310315">
                  <w:pPr>
                    <w:adjustRightInd w:val="0"/>
                    <w:snapToGrid w:val="0"/>
                    <w:jc w:val="center"/>
                    <w:rPr>
                      <w:color w:val="auto"/>
                      <w:szCs w:val="21"/>
                    </w:rPr>
                  </w:pPr>
                  <w:r>
                    <w:rPr>
                      <w:color w:val="auto"/>
                      <w:szCs w:val="21"/>
                    </w:rPr>
                    <w:t>1</w:t>
                  </w:r>
                </w:p>
              </w:tc>
              <w:tc>
                <w:tcPr>
                  <w:tcW w:w="1361" w:type="dxa"/>
                  <w:tcBorders>
                    <w:top w:val="single" w:color="auto" w:sz="8" w:space="0"/>
                  </w:tcBorders>
                  <w:noWrap w:val="0"/>
                  <w:vAlign w:val="center"/>
                </w:tcPr>
                <w:p w14:paraId="6C5E945E">
                  <w:pPr>
                    <w:adjustRightInd w:val="0"/>
                    <w:snapToGrid w:val="0"/>
                    <w:jc w:val="center"/>
                    <w:rPr>
                      <w:color w:val="auto"/>
                      <w:szCs w:val="21"/>
                    </w:rPr>
                  </w:pPr>
                  <w:r>
                    <w:rPr>
                      <w:rFonts w:hAnsi="宋体"/>
                      <w:color w:val="auto"/>
                      <w:szCs w:val="21"/>
                    </w:rPr>
                    <w:t>项目名称</w:t>
                  </w:r>
                </w:p>
              </w:tc>
              <w:tc>
                <w:tcPr>
                  <w:tcW w:w="6435" w:type="dxa"/>
                  <w:tcBorders>
                    <w:top w:val="single" w:color="auto" w:sz="8" w:space="0"/>
                  </w:tcBorders>
                  <w:noWrap w:val="0"/>
                  <w:vAlign w:val="center"/>
                </w:tcPr>
                <w:p w14:paraId="5B21C570">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年产1000万只镍氢电池项目</w:t>
                  </w:r>
                </w:p>
              </w:tc>
            </w:tr>
            <w:tr w14:paraId="1AB4F8A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noWrap w:val="0"/>
                  <w:vAlign w:val="center"/>
                </w:tcPr>
                <w:p w14:paraId="2F8FCC0D">
                  <w:pPr>
                    <w:adjustRightInd w:val="0"/>
                    <w:snapToGrid w:val="0"/>
                    <w:jc w:val="center"/>
                    <w:rPr>
                      <w:color w:val="auto"/>
                      <w:szCs w:val="21"/>
                    </w:rPr>
                  </w:pPr>
                  <w:r>
                    <w:rPr>
                      <w:color w:val="auto"/>
                      <w:szCs w:val="21"/>
                    </w:rPr>
                    <w:t>2</w:t>
                  </w:r>
                </w:p>
              </w:tc>
              <w:tc>
                <w:tcPr>
                  <w:tcW w:w="1361" w:type="dxa"/>
                  <w:noWrap w:val="0"/>
                  <w:vAlign w:val="center"/>
                </w:tcPr>
                <w:p w14:paraId="08B65216">
                  <w:pPr>
                    <w:adjustRightInd w:val="0"/>
                    <w:snapToGrid w:val="0"/>
                    <w:jc w:val="center"/>
                    <w:rPr>
                      <w:color w:val="auto"/>
                      <w:szCs w:val="21"/>
                    </w:rPr>
                  </w:pPr>
                  <w:r>
                    <w:rPr>
                      <w:rFonts w:hAnsi="宋体"/>
                      <w:color w:val="auto"/>
                      <w:szCs w:val="21"/>
                    </w:rPr>
                    <w:t>项目选址</w:t>
                  </w:r>
                </w:p>
              </w:tc>
              <w:tc>
                <w:tcPr>
                  <w:tcW w:w="6435" w:type="dxa"/>
                  <w:noWrap w:val="0"/>
                  <w:vAlign w:val="center"/>
                </w:tcPr>
                <w:p w14:paraId="7A696782">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河南省新乡市延津县石婆固乡西秦庄村012号</w:t>
                  </w:r>
                </w:p>
              </w:tc>
            </w:tr>
            <w:tr w14:paraId="49381D1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noWrap w:val="0"/>
                  <w:vAlign w:val="center"/>
                </w:tcPr>
                <w:p w14:paraId="01D951D1">
                  <w:pPr>
                    <w:adjustRightInd w:val="0"/>
                    <w:snapToGrid w:val="0"/>
                    <w:jc w:val="center"/>
                    <w:rPr>
                      <w:color w:val="auto"/>
                      <w:szCs w:val="21"/>
                    </w:rPr>
                  </w:pPr>
                  <w:r>
                    <w:rPr>
                      <w:color w:val="auto"/>
                      <w:szCs w:val="21"/>
                    </w:rPr>
                    <w:t>3</w:t>
                  </w:r>
                </w:p>
              </w:tc>
              <w:tc>
                <w:tcPr>
                  <w:tcW w:w="1361" w:type="dxa"/>
                  <w:noWrap w:val="0"/>
                  <w:vAlign w:val="center"/>
                </w:tcPr>
                <w:p w14:paraId="1447C257">
                  <w:pPr>
                    <w:adjustRightInd w:val="0"/>
                    <w:snapToGrid w:val="0"/>
                    <w:jc w:val="center"/>
                    <w:rPr>
                      <w:color w:val="auto"/>
                      <w:szCs w:val="21"/>
                    </w:rPr>
                  </w:pPr>
                  <w:r>
                    <w:rPr>
                      <w:rFonts w:hAnsi="宋体"/>
                      <w:color w:val="auto"/>
                      <w:szCs w:val="21"/>
                    </w:rPr>
                    <w:t>建设单位</w:t>
                  </w:r>
                </w:p>
              </w:tc>
              <w:tc>
                <w:tcPr>
                  <w:tcW w:w="6435" w:type="dxa"/>
                  <w:noWrap w:val="0"/>
                  <w:vAlign w:val="center"/>
                </w:tcPr>
                <w:p w14:paraId="5A2B8D00">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延津县东能新型电子器材厂</w:t>
                  </w:r>
                </w:p>
              </w:tc>
            </w:tr>
            <w:tr w14:paraId="1FE4AA5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noWrap w:val="0"/>
                  <w:vAlign w:val="center"/>
                </w:tcPr>
                <w:p w14:paraId="5ED3DC6B">
                  <w:pPr>
                    <w:adjustRightInd w:val="0"/>
                    <w:snapToGrid w:val="0"/>
                    <w:jc w:val="center"/>
                    <w:rPr>
                      <w:color w:val="auto"/>
                      <w:szCs w:val="21"/>
                    </w:rPr>
                  </w:pPr>
                  <w:r>
                    <w:rPr>
                      <w:color w:val="auto"/>
                      <w:szCs w:val="21"/>
                    </w:rPr>
                    <w:t>4</w:t>
                  </w:r>
                </w:p>
              </w:tc>
              <w:tc>
                <w:tcPr>
                  <w:tcW w:w="1361" w:type="dxa"/>
                  <w:noWrap w:val="0"/>
                  <w:vAlign w:val="center"/>
                </w:tcPr>
                <w:p w14:paraId="565A07BB">
                  <w:pPr>
                    <w:adjustRightInd w:val="0"/>
                    <w:snapToGrid w:val="0"/>
                    <w:jc w:val="center"/>
                    <w:rPr>
                      <w:color w:val="auto"/>
                      <w:szCs w:val="21"/>
                    </w:rPr>
                  </w:pPr>
                  <w:r>
                    <w:rPr>
                      <w:rFonts w:hAnsi="宋体"/>
                      <w:color w:val="auto"/>
                      <w:szCs w:val="21"/>
                    </w:rPr>
                    <w:t>占地面积</w:t>
                  </w:r>
                </w:p>
              </w:tc>
              <w:tc>
                <w:tcPr>
                  <w:tcW w:w="6435" w:type="dxa"/>
                  <w:noWrap w:val="0"/>
                  <w:vAlign w:val="center"/>
                </w:tcPr>
                <w:p w14:paraId="5B281B03">
                  <w:pPr>
                    <w:adjustRightInd w:val="0"/>
                    <w:snapToGrid w:val="0"/>
                    <w:jc w:val="center"/>
                    <w:rPr>
                      <w:rFonts w:hint="default" w:eastAsia="宋体"/>
                      <w:color w:val="auto"/>
                      <w:szCs w:val="21"/>
                      <w:lang w:val="en-US" w:eastAsia="zh-CN"/>
                    </w:rPr>
                  </w:pPr>
                  <w:r>
                    <w:rPr>
                      <w:rFonts w:hint="eastAsia"/>
                      <w:color w:val="auto"/>
                      <w:szCs w:val="21"/>
                      <w:lang w:val="en-US" w:eastAsia="zh-CN"/>
                    </w:rPr>
                    <w:t>1330</w:t>
                  </w:r>
                  <w:r>
                    <w:rPr>
                      <w:rFonts w:hint="eastAsia"/>
                      <w:color w:val="auto"/>
                      <w:szCs w:val="21"/>
                    </w:rPr>
                    <w:t>m</w:t>
                  </w:r>
                  <w:r>
                    <w:rPr>
                      <w:rFonts w:hint="eastAsia"/>
                      <w:color w:val="auto"/>
                      <w:szCs w:val="21"/>
                      <w:vertAlign w:val="superscript"/>
                    </w:rPr>
                    <w:t>2</w:t>
                  </w:r>
                </w:p>
              </w:tc>
            </w:tr>
            <w:tr w14:paraId="39CB91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noWrap w:val="0"/>
                  <w:vAlign w:val="center"/>
                </w:tcPr>
                <w:p w14:paraId="19E52B1E">
                  <w:pPr>
                    <w:adjustRightInd w:val="0"/>
                    <w:snapToGrid w:val="0"/>
                    <w:jc w:val="center"/>
                    <w:rPr>
                      <w:color w:val="auto"/>
                      <w:szCs w:val="21"/>
                    </w:rPr>
                  </w:pPr>
                  <w:r>
                    <w:rPr>
                      <w:color w:val="auto"/>
                      <w:szCs w:val="21"/>
                    </w:rPr>
                    <w:t>5</w:t>
                  </w:r>
                </w:p>
              </w:tc>
              <w:tc>
                <w:tcPr>
                  <w:tcW w:w="1361" w:type="dxa"/>
                  <w:noWrap w:val="0"/>
                  <w:vAlign w:val="center"/>
                </w:tcPr>
                <w:p w14:paraId="64728BAD">
                  <w:pPr>
                    <w:adjustRightInd w:val="0"/>
                    <w:snapToGrid w:val="0"/>
                    <w:jc w:val="center"/>
                    <w:rPr>
                      <w:color w:val="auto"/>
                      <w:szCs w:val="21"/>
                    </w:rPr>
                  </w:pPr>
                  <w:r>
                    <w:rPr>
                      <w:rFonts w:hAnsi="宋体"/>
                      <w:color w:val="auto"/>
                      <w:szCs w:val="21"/>
                    </w:rPr>
                    <w:t>产品方案</w:t>
                  </w:r>
                </w:p>
              </w:tc>
              <w:tc>
                <w:tcPr>
                  <w:tcW w:w="6435" w:type="dxa"/>
                  <w:noWrap w:val="0"/>
                  <w:vAlign w:val="center"/>
                </w:tcPr>
                <w:p w14:paraId="5C2BC2DF">
                  <w:pPr>
                    <w:adjustRightInd w:val="0"/>
                    <w:snapToGrid w:val="0"/>
                    <w:jc w:val="center"/>
                    <w:rPr>
                      <w:color w:val="auto"/>
                      <w:szCs w:val="21"/>
                    </w:rPr>
                  </w:pPr>
                  <w:r>
                    <w:rPr>
                      <w:rFonts w:hint="eastAsia" w:cs="Times New Roman"/>
                      <w:color w:val="auto"/>
                      <w:szCs w:val="21"/>
                      <w:lang w:val="en-US" w:eastAsia="zh-CN"/>
                    </w:rPr>
                    <w:t>年产</w:t>
                  </w:r>
                  <w:r>
                    <w:rPr>
                      <w:rFonts w:hint="eastAsia" w:ascii="Times New Roman" w:hAnsi="Times New Roman" w:eastAsia="宋体" w:cs="Times New Roman"/>
                      <w:color w:val="auto"/>
                      <w:szCs w:val="21"/>
                      <w:lang w:val="en-US" w:eastAsia="zh-CN"/>
                    </w:rPr>
                    <w:t>1000万只镍氢电池</w:t>
                  </w:r>
                </w:p>
              </w:tc>
            </w:tr>
            <w:tr w14:paraId="1D5E2CC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noWrap w:val="0"/>
                  <w:vAlign w:val="center"/>
                </w:tcPr>
                <w:p w14:paraId="46A73FBA">
                  <w:pPr>
                    <w:adjustRightInd w:val="0"/>
                    <w:snapToGrid w:val="0"/>
                    <w:jc w:val="center"/>
                    <w:rPr>
                      <w:color w:val="auto"/>
                      <w:szCs w:val="21"/>
                    </w:rPr>
                  </w:pPr>
                  <w:r>
                    <w:rPr>
                      <w:color w:val="auto"/>
                      <w:szCs w:val="21"/>
                    </w:rPr>
                    <w:t>6</w:t>
                  </w:r>
                </w:p>
              </w:tc>
              <w:tc>
                <w:tcPr>
                  <w:tcW w:w="1361" w:type="dxa"/>
                  <w:noWrap w:val="0"/>
                  <w:vAlign w:val="center"/>
                </w:tcPr>
                <w:p w14:paraId="731BE08D">
                  <w:pPr>
                    <w:adjustRightInd w:val="0"/>
                    <w:snapToGrid w:val="0"/>
                    <w:jc w:val="center"/>
                    <w:rPr>
                      <w:color w:val="auto"/>
                      <w:szCs w:val="21"/>
                    </w:rPr>
                  </w:pPr>
                  <w:r>
                    <w:rPr>
                      <w:rFonts w:hAnsi="宋体"/>
                      <w:color w:val="auto"/>
                      <w:szCs w:val="21"/>
                    </w:rPr>
                    <w:t>总投资</w:t>
                  </w:r>
                </w:p>
              </w:tc>
              <w:tc>
                <w:tcPr>
                  <w:tcW w:w="6435" w:type="dxa"/>
                  <w:noWrap w:val="0"/>
                  <w:vAlign w:val="center"/>
                </w:tcPr>
                <w:p w14:paraId="552C6000">
                  <w:pPr>
                    <w:adjustRightInd w:val="0"/>
                    <w:snapToGrid w:val="0"/>
                    <w:jc w:val="center"/>
                    <w:rPr>
                      <w:color w:val="auto"/>
                      <w:szCs w:val="21"/>
                    </w:rPr>
                  </w:pPr>
                  <w:r>
                    <w:rPr>
                      <w:rFonts w:hint="eastAsia"/>
                      <w:color w:val="auto"/>
                      <w:szCs w:val="21"/>
                      <w:lang w:val="en-US" w:eastAsia="zh-CN"/>
                    </w:rPr>
                    <w:t>300</w:t>
                  </w:r>
                  <w:r>
                    <w:rPr>
                      <w:color w:val="auto"/>
                      <w:szCs w:val="21"/>
                    </w:rPr>
                    <w:t>万</w:t>
                  </w:r>
                  <w:r>
                    <w:rPr>
                      <w:rFonts w:hint="eastAsia"/>
                      <w:color w:val="auto"/>
                      <w:szCs w:val="21"/>
                    </w:rPr>
                    <w:t>元</w:t>
                  </w:r>
                </w:p>
              </w:tc>
            </w:tr>
            <w:tr w14:paraId="607460A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4" w:type="dxa"/>
                  <w:noWrap w:val="0"/>
                  <w:vAlign w:val="center"/>
                </w:tcPr>
                <w:p w14:paraId="6E13CBFB">
                  <w:pPr>
                    <w:adjustRightInd w:val="0"/>
                    <w:snapToGrid w:val="0"/>
                    <w:jc w:val="center"/>
                    <w:rPr>
                      <w:color w:val="auto"/>
                      <w:szCs w:val="21"/>
                    </w:rPr>
                  </w:pPr>
                  <w:r>
                    <w:rPr>
                      <w:color w:val="auto"/>
                      <w:szCs w:val="21"/>
                    </w:rPr>
                    <w:t>7</w:t>
                  </w:r>
                </w:p>
              </w:tc>
              <w:tc>
                <w:tcPr>
                  <w:tcW w:w="1361" w:type="dxa"/>
                  <w:noWrap w:val="0"/>
                  <w:vAlign w:val="center"/>
                </w:tcPr>
                <w:p w14:paraId="14281F7C">
                  <w:pPr>
                    <w:adjustRightInd w:val="0"/>
                    <w:snapToGrid w:val="0"/>
                    <w:jc w:val="center"/>
                    <w:rPr>
                      <w:color w:val="auto"/>
                      <w:szCs w:val="21"/>
                    </w:rPr>
                  </w:pPr>
                  <w:r>
                    <w:rPr>
                      <w:rFonts w:hAnsi="宋体"/>
                      <w:color w:val="auto"/>
                      <w:szCs w:val="21"/>
                    </w:rPr>
                    <w:t>劳动定员与制度</w:t>
                  </w:r>
                </w:p>
              </w:tc>
              <w:tc>
                <w:tcPr>
                  <w:tcW w:w="6435" w:type="dxa"/>
                  <w:noWrap w:val="0"/>
                  <w:vAlign w:val="center"/>
                </w:tcPr>
                <w:p w14:paraId="2DCE9007">
                  <w:pPr>
                    <w:adjustRightInd w:val="0"/>
                    <w:snapToGrid w:val="0"/>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val="en-US" w:eastAsia="zh-CN"/>
                    </w:rPr>
                    <w:t>本项目新增</w:t>
                  </w:r>
                  <w:r>
                    <w:rPr>
                      <w:rFonts w:hint="eastAsia" w:cs="Times New Roman"/>
                      <w:color w:val="auto"/>
                      <w:szCs w:val="21"/>
                      <w:lang w:val="en-US" w:eastAsia="zh-CN"/>
                    </w:rPr>
                    <w:t>劳动</w:t>
                  </w:r>
                  <w:r>
                    <w:rPr>
                      <w:rFonts w:hint="eastAsia" w:ascii="Times New Roman" w:hAnsi="Times New Roman" w:eastAsia="宋体" w:cs="Times New Roman"/>
                      <w:color w:val="auto"/>
                      <w:szCs w:val="21"/>
                      <w:lang w:val="en-US" w:eastAsia="zh-CN"/>
                    </w:rPr>
                    <w:t>定员</w:t>
                  </w:r>
                  <w:r>
                    <w:rPr>
                      <w:rFonts w:hint="eastAsia" w:cs="Times New Roman"/>
                      <w:color w:val="auto"/>
                      <w:szCs w:val="21"/>
                      <w:lang w:val="en-US" w:eastAsia="zh-CN"/>
                    </w:rPr>
                    <w:t>10</w:t>
                  </w:r>
                  <w:r>
                    <w:rPr>
                      <w:rFonts w:hint="eastAsia" w:ascii="Times New Roman" w:hAnsi="Times New Roman" w:eastAsia="宋体" w:cs="Times New Roman"/>
                      <w:color w:val="auto"/>
                      <w:szCs w:val="21"/>
                      <w:lang w:val="en-US" w:eastAsia="zh-CN"/>
                    </w:rPr>
                    <w:t>人</w:t>
                  </w:r>
                  <w:r>
                    <w:rPr>
                      <w:rFonts w:hint="eastAsia" w:cs="Times New Roman"/>
                      <w:color w:val="auto"/>
                      <w:szCs w:val="21"/>
                      <w:lang w:val="en-US" w:eastAsia="zh-CN"/>
                    </w:rPr>
                    <w:t>，双班</w:t>
                  </w:r>
                  <w:r>
                    <w:rPr>
                      <w:rFonts w:hint="eastAsia" w:ascii="Times New Roman" w:hAnsi="Times New Roman" w:eastAsia="宋体" w:cs="Times New Roman"/>
                      <w:color w:val="auto"/>
                      <w:szCs w:val="21"/>
                      <w:lang w:eastAsia="zh-CN"/>
                    </w:rPr>
                    <w:t>生产，8h/班，年工作日为</w:t>
                  </w:r>
                  <w:r>
                    <w:rPr>
                      <w:rFonts w:hint="eastAsia" w:ascii="Times New Roman" w:hAnsi="Times New Roman" w:eastAsia="宋体" w:cs="Times New Roman"/>
                      <w:color w:val="auto"/>
                      <w:szCs w:val="21"/>
                      <w:lang w:val="en-US" w:eastAsia="zh-CN"/>
                    </w:rPr>
                    <w:t>300</w:t>
                  </w:r>
                  <w:r>
                    <w:rPr>
                      <w:rFonts w:hint="eastAsia" w:ascii="Times New Roman" w:hAnsi="Times New Roman" w:eastAsia="宋体" w:cs="Times New Roman"/>
                      <w:color w:val="auto"/>
                      <w:szCs w:val="21"/>
                      <w:lang w:eastAsia="zh-CN"/>
                    </w:rPr>
                    <w:t>天</w:t>
                  </w:r>
                </w:p>
              </w:tc>
            </w:tr>
          </w:tbl>
          <w:p w14:paraId="18E3E25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b/>
                <w:bCs/>
                <w:color w:val="auto"/>
                <w:sz w:val="24"/>
              </w:rPr>
            </w:pPr>
            <w:r>
              <w:rPr>
                <w:b/>
                <w:bCs/>
                <w:color w:val="auto"/>
                <w:sz w:val="24"/>
              </w:rPr>
              <w:t>2、</w:t>
            </w:r>
            <w:r>
              <w:rPr>
                <w:rFonts w:hint="eastAsia"/>
                <w:b/>
                <w:bCs/>
                <w:color w:val="auto"/>
                <w:sz w:val="24"/>
                <w:lang w:val="en-US" w:eastAsia="zh-CN"/>
              </w:rPr>
              <w:t>本</w:t>
            </w:r>
            <w:r>
              <w:rPr>
                <w:b/>
                <w:bCs/>
                <w:color w:val="auto"/>
                <w:sz w:val="24"/>
              </w:rPr>
              <w:t>项目组成及建设情况</w:t>
            </w:r>
          </w:p>
          <w:p w14:paraId="45658F35">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eastAsia"/>
                <w:bCs/>
                <w:color w:val="auto"/>
                <w:sz w:val="24"/>
                <w:lang w:val="en-US" w:eastAsia="zh-CN"/>
              </w:rPr>
            </w:pPr>
            <w:r>
              <w:rPr>
                <w:rFonts w:hint="eastAsia"/>
                <w:bCs/>
                <w:color w:val="auto"/>
                <w:sz w:val="24"/>
              </w:rPr>
              <w:t>经现场勘查，本项目</w:t>
            </w:r>
            <w:r>
              <w:rPr>
                <w:rFonts w:hint="eastAsia"/>
                <w:bCs/>
                <w:color w:val="auto"/>
                <w:sz w:val="24"/>
                <w:lang w:val="en-US" w:eastAsia="zh-CN"/>
              </w:rPr>
              <w:t>利用现有</w:t>
            </w:r>
            <w:r>
              <w:rPr>
                <w:rFonts w:hint="eastAsia"/>
                <w:bCs/>
                <w:color w:val="auto"/>
                <w:sz w:val="24"/>
              </w:rPr>
              <w:t>厂房组织生产，目前设备未到位，不具备生产条件</w:t>
            </w:r>
            <w:r>
              <w:rPr>
                <w:rFonts w:hint="eastAsia"/>
                <w:bCs/>
                <w:color w:val="auto"/>
                <w:sz w:val="24"/>
                <w:lang w:eastAsia="zh-CN"/>
              </w:rPr>
              <w:t>。</w:t>
            </w:r>
          </w:p>
          <w:p w14:paraId="5118E133">
            <w:pPr>
              <w:keepLines w:val="0"/>
              <w:pageBreakBefore w:val="0"/>
              <w:widowControl w:val="0"/>
              <w:kinsoku/>
              <w:wordWrap/>
              <w:topLinePunct w:val="0"/>
              <w:autoSpaceDE/>
              <w:autoSpaceDN/>
              <w:bidi w:val="0"/>
              <w:adjustRightInd w:val="0"/>
              <w:snapToGrid w:val="0"/>
              <w:spacing w:before="157" w:beforeLines="50" w:line="360" w:lineRule="auto"/>
              <w:ind w:firstLine="480" w:firstLineChars="200"/>
              <w:textAlignment w:val="auto"/>
              <w:rPr>
                <w:rFonts w:hAnsi="宋体"/>
                <w:color w:val="auto"/>
                <w:sz w:val="24"/>
              </w:rPr>
            </w:pPr>
            <w:r>
              <w:rPr>
                <w:rFonts w:hAnsi="宋体"/>
                <w:color w:val="auto"/>
                <w:sz w:val="24"/>
              </w:rPr>
              <w:t>本项目主要工程组成见</w:t>
            </w:r>
            <w:r>
              <w:rPr>
                <w:rFonts w:hint="eastAsia" w:hAnsi="宋体"/>
                <w:color w:val="auto"/>
                <w:sz w:val="24"/>
                <w:lang w:val="en-US" w:eastAsia="zh-CN"/>
              </w:rPr>
              <w:t>下</w:t>
            </w:r>
            <w:r>
              <w:rPr>
                <w:color w:val="auto"/>
                <w:sz w:val="24"/>
              </w:rPr>
              <w:t>表</w:t>
            </w:r>
            <w:r>
              <w:rPr>
                <w:rFonts w:hint="eastAsia" w:hAnsi="宋体"/>
                <w:color w:val="auto"/>
                <w:sz w:val="24"/>
              </w:rPr>
              <w:t>。</w:t>
            </w:r>
          </w:p>
          <w:p w14:paraId="5EDEC1A8">
            <w:pPr>
              <w:pStyle w:val="21"/>
              <w:keepLines w:val="0"/>
              <w:pageBreakBefore w:val="0"/>
              <w:widowControl w:val="0"/>
              <w:kinsoku/>
              <w:wordWrap/>
              <w:topLinePunct w:val="0"/>
              <w:autoSpaceDE/>
              <w:autoSpaceDN/>
              <w:bidi w:val="0"/>
              <w:spacing w:before="157" w:beforeLines="50" w:line="360" w:lineRule="auto"/>
              <w:ind w:left="0" w:leftChars="0" w:firstLine="0" w:firstLineChars="0"/>
              <w:jc w:val="center"/>
              <w:textAlignment w:val="auto"/>
              <w:rPr>
                <w:rFonts w:hint="eastAsia" w:ascii="Times New Roman" w:hAnsi="Times New Roman" w:eastAsia="黑体" w:cs="Times New Roman"/>
                <w:bCs/>
                <w:color w:val="auto"/>
                <w:kern w:val="2"/>
                <w:sz w:val="24"/>
                <w:szCs w:val="24"/>
                <w:lang w:val="en-US" w:eastAsia="zh-CN" w:bidi="ar-SA"/>
              </w:rPr>
            </w:pPr>
          </w:p>
          <w:p w14:paraId="0EFF918D">
            <w:pPr>
              <w:pStyle w:val="21"/>
              <w:keepLines w:val="0"/>
              <w:pageBreakBefore w:val="0"/>
              <w:widowControl w:val="0"/>
              <w:kinsoku/>
              <w:wordWrap/>
              <w:topLinePunct w:val="0"/>
              <w:autoSpaceDE/>
              <w:autoSpaceDN/>
              <w:bidi w:val="0"/>
              <w:spacing w:before="157" w:beforeLines="50" w:line="360" w:lineRule="auto"/>
              <w:ind w:left="0" w:leftChars="0" w:firstLine="0" w:firstLineChars="0"/>
              <w:jc w:val="center"/>
              <w:textAlignment w:val="auto"/>
              <w:rPr>
                <w:rFonts w:hint="eastAsia" w:ascii="Times New Roman" w:hAnsi="Times New Roman" w:eastAsia="黑体" w:cs="Times New Roman"/>
                <w:bCs/>
                <w:color w:val="auto"/>
                <w:kern w:val="2"/>
                <w:sz w:val="24"/>
                <w:szCs w:val="24"/>
                <w:lang w:val="en-US" w:eastAsia="zh-CN" w:bidi="ar-SA"/>
              </w:rPr>
            </w:pPr>
            <w:r>
              <w:rPr>
                <w:rFonts w:hint="eastAsia" w:ascii="Times New Roman" w:hAnsi="Times New Roman" w:eastAsia="黑体" w:cs="Times New Roman"/>
                <w:bCs/>
                <w:color w:val="auto"/>
                <w:kern w:val="2"/>
                <w:sz w:val="24"/>
                <w:szCs w:val="24"/>
                <w:lang w:val="en-US" w:eastAsia="zh-CN" w:bidi="ar-SA"/>
              </w:rPr>
              <w:t>表7     本项目组成情况</w:t>
            </w:r>
          </w:p>
          <w:tbl>
            <w:tblPr>
              <w:tblStyle w:val="17"/>
              <w:tblW w:w="4982" w:type="pct"/>
              <w:jc w:val="center"/>
              <w:tblLayout w:type="autofit"/>
              <w:tblCellMar>
                <w:top w:w="0" w:type="dxa"/>
                <w:left w:w="108" w:type="dxa"/>
                <w:bottom w:w="0" w:type="dxa"/>
                <w:right w:w="108" w:type="dxa"/>
              </w:tblCellMar>
            </w:tblPr>
            <w:tblGrid>
              <w:gridCol w:w="662"/>
              <w:gridCol w:w="843"/>
              <w:gridCol w:w="1555"/>
              <w:gridCol w:w="3968"/>
              <w:gridCol w:w="780"/>
            </w:tblGrid>
            <w:tr w14:paraId="737C6E58">
              <w:tblPrEx>
                <w:tblCellMar>
                  <w:top w:w="0" w:type="dxa"/>
                  <w:left w:w="108" w:type="dxa"/>
                  <w:bottom w:w="0" w:type="dxa"/>
                  <w:right w:w="108" w:type="dxa"/>
                </w:tblCellMar>
              </w:tblPrEx>
              <w:trPr>
                <w:trHeight w:val="397" w:hRule="atLeast"/>
                <w:jc w:val="center"/>
              </w:trPr>
              <w:tc>
                <w:tcPr>
                  <w:tcW w:w="662" w:type="dxa"/>
                  <w:tcBorders>
                    <w:top w:val="single" w:color="auto" w:sz="8" w:space="0"/>
                    <w:bottom w:val="single" w:color="auto" w:sz="8" w:space="0"/>
                    <w:right w:val="single" w:color="auto" w:sz="4" w:space="0"/>
                  </w:tcBorders>
                  <w:noWrap w:val="0"/>
                  <w:vAlign w:val="center"/>
                </w:tcPr>
                <w:p w14:paraId="78582D0E">
                  <w:pPr>
                    <w:snapToGrid w:val="0"/>
                    <w:jc w:val="center"/>
                    <w:rPr>
                      <w:b/>
                      <w:color w:val="auto"/>
                      <w:kern w:val="36"/>
                      <w:szCs w:val="21"/>
                    </w:rPr>
                  </w:pPr>
                  <w:r>
                    <w:rPr>
                      <w:b/>
                      <w:color w:val="auto"/>
                      <w:kern w:val="36"/>
                      <w:szCs w:val="21"/>
                    </w:rPr>
                    <w:t>序号</w:t>
                  </w:r>
                </w:p>
              </w:tc>
              <w:tc>
                <w:tcPr>
                  <w:tcW w:w="843" w:type="dxa"/>
                  <w:tcBorders>
                    <w:top w:val="single" w:color="auto" w:sz="8" w:space="0"/>
                    <w:left w:val="single" w:color="auto" w:sz="4" w:space="0"/>
                    <w:bottom w:val="single" w:color="auto" w:sz="8" w:space="0"/>
                    <w:right w:val="single" w:color="auto" w:sz="4" w:space="0"/>
                  </w:tcBorders>
                  <w:noWrap w:val="0"/>
                  <w:vAlign w:val="center"/>
                </w:tcPr>
                <w:p w14:paraId="74B7F0D0">
                  <w:pPr>
                    <w:snapToGrid w:val="0"/>
                    <w:jc w:val="center"/>
                    <w:rPr>
                      <w:b/>
                      <w:color w:val="auto"/>
                      <w:kern w:val="36"/>
                      <w:szCs w:val="21"/>
                    </w:rPr>
                  </w:pPr>
                  <w:r>
                    <w:rPr>
                      <w:b/>
                      <w:color w:val="auto"/>
                      <w:kern w:val="36"/>
                      <w:szCs w:val="21"/>
                    </w:rPr>
                    <w:t>项目</w:t>
                  </w:r>
                </w:p>
              </w:tc>
              <w:tc>
                <w:tcPr>
                  <w:tcW w:w="1555" w:type="dxa"/>
                  <w:tcBorders>
                    <w:top w:val="single" w:color="auto" w:sz="8" w:space="0"/>
                    <w:left w:val="single" w:color="auto" w:sz="4" w:space="0"/>
                    <w:bottom w:val="single" w:color="auto" w:sz="8" w:space="0"/>
                    <w:right w:val="single" w:color="auto" w:sz="4" w:space="0"/>
                  </w:tcBorders>
                  <w:noWrap w:val="0"/>
                  <w:vAlign w:val="center"/>
                </w:tcPr>
                <w:p w14:paraId="1A85ACCA">
                  <w:pPr>
                    <w:snapToGrid w:val="0"/>
                    <w:jc w:val="center"/>
                    <w:rPr>
                      <w:b/>
                      <w:color w:val="auto"/>
                      <w:kern w:val="36"/>
                      <w:szCs w:val="21"/>
                    </w:rPr>
                  </w:pPr>
                  <w:r>
                    <w:rPr>
                      <w:b/>
                      <w:color w:val="auto"/>
                      <w:kern w:val="36"/>
                      <w:szCs w:val="21"/>
                    </w:rPr>
                    <w:t>建设内容</w:t>
                  </w:r>
                </w:p>
              </w:tc>
              <w:tc>
                <w:tcPr>
                  <w:tcW w:w="3968" w:type="dxa"/>
                  <w:tcBorders>
                    <w:top w:val="single" w:color="auto" w:sz="8" w:space="0"/>
                    <w:left w:val="single" w:color="auto" w:sz="4" w:space="0"/>
                    <w:bottom w:val="single" w:color="auto" w:sz="8" w:space="0"/>
                    <w:right w:val="single" w:color="auto" w:sz="4" w:space="0"/>
                  </w:tcBorders>
                  <w:noWrap w:val="0"/>
                  <w:vAlign w:val="center"/>
                </w:tcPr>
                <w:p w14:paraId="7051170B">
                  <w:pPr>
                    <w:snapToGrid w:val="0"/>
                    <w:jc w:val="center"/>
                    <w:rPr>
                      <w:b/>
                      <w:color w:val="auto"/>
                      <w:kern w:val="36"/>
                      <w:szCs w:val="21"/>
                    </w:rPr>
                  </w:pPr>
                  <w:r>
                    <w:rPr>
                      <w:b/>
                      <w:color w:val="auto"/>
                      <w:kern w:val="36"/>
                      <w:szCs w:val="21"/>
                    </w:rPr>
                    <w:t>数量、规模或要求</w:t>
                  </w:r>
                </w:p>
              </w:tc>
              <w:tc>
                <w:tcPr>
                  <w:tcW w:w="780" w:type="dxa"/>
                  <w:tcBorders>
                    <w:top w:val="single" w:color="auto" w:sz="8" w:space="0"/>
                    <w:left w:val="single" w:color="auto" w:sz="4" w:space="0"/>
                    <w:bottom w:val="single" w:color="auto" w:sz="8" w:space="0"/>
                  </w:tcBorders>
                  <w:noWrap w:val="0"/>
                  <w:vAlign w:val="center"/>
                </w:tcPr>
                <w:p w14:paraId="1F45148B">
                  <w:pPr>
                    <w:snapToGrid w:val="0"/>
                    <w:jc w:val="center"/>
                    <w:rPr>
                      <w:b/>
                      <w:color w:val="auto"/>
                      <w:kern w:val="36"/>
                      <w:szCs w:val="21"/>
                    </w:rPr>
                  </w:pPr>
                  <w:r>
                    <w:rPr>
                      <w:b/>
                      <w:color w:val="auto"/>
                      <w:kern w:val="36"/>
                      <w:szCs w:val="21"/>
                    </w:rPr>
                    <w:t>备注</w:t>
                  </w:r>
                </w:p>
              </w:tc>
            </w:tr>
            <w:tr w14:paraId="2D879A49">
              <w:tblPrEx>
                <w:tblCellMar>
                  <w:top w:w="0" w:type="dxa"/>
                  <w:left w:w="108" w:type="dxa"/>
                  <w:bottom w:w="0" w:type="dxa"/>
                  <w:right w:w="108" w:type="dxa"/>
                </w:tblCellMar>
              </w:tblPrEx>
              <w:trPr>
                <w:trHeight w:val="397" w:hRule="atLeast"/>
                <w:jc w:val="center"/>
              </w:trPr>
              <w:tc>
                <w:tcPr>
                  <w:tcW w:w="662" w:type="dxa"/>
                  <w:vMerge w:val="restart"/>
                  <w:tcBorders>
                    <w:top w:val="single" w:color="auto" w:sz="8" w:space="0"/>
                    <w:bottom w:val="single" w:color="auto" w:sz="4" w:space="0"/>
                    <w:right w:val="single" w:color="auto" w:sz="4" w:space="0"/>
                  </w:tcBorders>
                  <w:noWrap w:val="0"/>
                  <w:vAlign w:val="center"/>
                </w:tcPr>
                <w:p w14:paraId="2B938B22">
                  <w:pPr>
                    <w:snapToGrid w:val="0"/>
                    <w:jc w:val="center"/>
                    <w:rPr>
                      <w:color w:val="auto"/>
                      <w:kern w:val="36"/>
                      <w:szCs w:val="21"/>
                    </w:rPr>
                  </w:pPr>
                  <w:r>
                    <w:rPr>
                      <w:color w:val="auto"/>
                      <w:kern w:val="36"/>
                      <w:szCs w:val="21"/>
                    </w:rPr>
                    <w:t>1</w:t>
                  </w:r>
                </w:p>
              </w:tc>
              <w:tc>
                <w:tcPr>
                  <w:tcW w:w="843" w:type="dxa"/>
                  <w:vMerge w:val="restart"/>
                  <w:tcBorders>
                    <w:top w:val="single" w:color="auto" w:sz="8" w:space="0"/>
                    <w:left w:val="single" w:color="auto" w:sz="4" w:space="0"/>
                    <w:bottom w:val="single" w:color="auto" w:sz="4" w:space="0"/>
                    <w:right w:val="single" w:color="auto" w:sz="4" w:space="0"/>
                  </w:tcBorders>
                  <w:noWrap w:val="0"/>
                  <w:vAlign w:val="center"/>
                </w:tcPr>
                <w:p w14:paraId="730AC8A8">
                  <w:pPr>
                    <w:snapToGrid w:val="0"/>
                    <w:jc w:val="center"/>
                    <w:rPr>
                      <w:color w:val="auto"/>
                      <w:kern w:val="36"/>
                      <w:szCs w:val="21"/>
                    </w:rPr>
                  </w:pPr>
                  <w:r>
                    <w:rPr>
                      <w:color w:val="auto"/>
                      <w:kern w:val="36"/>
                      <w:szCs w:val="21"/>
                    </w:rPr>
                    <w:t>主体工程</w:t>
                  </w:r>
                </w:p>
              </w:tc>
              <w:tc>
                <w:tcPr>
                  <w:tcW w:w="1555" w:type="dxa"/>
                  <w:tcBorders>
                    <w:top w:val="single" w:color="auto" w:sz="8" w:space="0"/>
                    <w:left w:val="single" w:color="auto" w:sz="4" w:space="0"/>
                    <w:bottom w:val="single" w:color="auto" w:sz="4" w:space="0"/>
                    <w:right w:val="single" w:color="auto" w:sz="4" w:space="0"/>
                  </w:tcBorders>
                  <w:noWrap w:val="0"/>
                  <w:vAlign w:val="center"/>
                </w:tcPr>
                <w:p w14:paraId="7CFCDDE7">
                  <w:pPr>
                    <w:snapToGrid w:val="0"/>
                    <w:ind w:firstLine="132"/>
                    <w:jc w:val="center"/>
                    <w:rPr>
                      <w:color w:val="auto"/>
                      <w:szCs w:val="21"/>
                    </w:rPr>
                  </w:pPr>
                  <w:r>
                    <w:rPr>
                      <w:rFonts w:hint="eastAsia" w:hAnsi="宋体"/>
                      <w:color w:val="auto"/>
                      <w:szCs w:val="21"/>
                      <w:lang w:val="en-US" w:eastAsia="zh-CN"/>
                    </w:rPr>
                    <w:t>1#</w:t>
                  </w:r>
                  <w:r>
                    <w:rPr>
                      <w:rFonts w:hAnsi="宋体"/>
                      <w:color w:val="auto"/>
                      <w:szCs w:val="21"/>
                    </w:rPr>
                    <w:t>生产车间</w:t>
                  </w:r>
                </w:p>
              </w:tc>
              <w:tc>
                <w:tcPr>
                  <w:tcW w:w="3968" w:type="dxa"/>
                  <w:tcBorders>
                    <w:top w:val="single" w:color="auto" w:sz="8" w:space="0"/>
                    <w:left w:val="single" w:color="auto" w:sz="4" w:space="0"/>
                    <w:bottom w:val="single" w:color="auto" w:sz="4" w:space="0"/>
                    <w:right w:val="single" w:color="auto" w:sz="4" w:space="0"/>
                  </w:tcBorders>
                  <w:noWrap w:val="0"/>
                  <w:vAlign w:val="center"/>
                </w:tcPr>
                <w:p w14:paraId="38801779">
                  <w:pPr>
                    <w:snapToGrid w:val="0"/>
                    <w:jc w:val="center"/>
                    <w:rPr>
                      <w:rFonts w:hint="default" w:eastAsia="宋体"/>
                      <w:color w:val="auto"/>
                      <w:highlight w:val="none"/>
                      <w:lang w:val="en-US" w:eastAsia="zh-CN"/>
                    </w:rPr>
                  </w:pPr>
                  <w:r>
                    <w:rPr>
                      <w:rFonts w:hint="eastAsia"/>
                      <w:color w:val="auto"/>
                      <w:highlight w:val="none"/>
                      <w:lang w:val="en-US" w:eastAsia="zh-CN"/>
                    </w:rPr>
                    <w:t>1座1层，建筑面积为234</w:t>
                  </w:r>
                  <w:r>
                    <w:rPr>
                      <w:color w:val="auto"/>
                      <w:szCs w:val="21"/>
                      <w:highlight w:val="none"/>
                    </w:rPr>
                    <w:t>m</w:t>
                  </w:r>
                  <w:r>
                    <w:rPr>
                      <w:color w:val="auto"/>
                      <w:szCs w:val="21"/>
                      <w:highlight w:val="none"/>
                      <w:vertAlign w:val="superscript"/>
                    </w:rPr>
                    <w:t>2</w:t>
                  </w:r>
                </w:p>
              </w:tc>
              <w:tc>
                <w:tcPr>
                  <w:tcW w:w="780" w:type="dxa"/>
                  <w:vMerge w:val="restart"/>
                  <w:tcBorders>
                    <w:top w:val="single" w:color="auto" w:sz="8" w:space="0"/>
                    <w:left w:val="single" w:color="auto" w:sz="4" w:space="0"/>
                  </w:tcBorders>
                  <w:noWrap w:val="0"/>
                  <w:vAlign w:val="center"/>
                </w:tcPr>
                <w:p w14:paraId="707C1F40">
                  <w:pPr>
                    <w:snapToGrid w:val="0"/>
                    <w:jc w:val="center"/>
                    <w:rPr>
                      <w:rFonts w:hint="default" w:eastAsia="宋体"/>
                      <w:color w:val="auto"/>
                      <w:szCs w:val="21"/>
                      <w:highlight w:val="none"/>
                      <w:lang w:val="en-US" w:eastAsia="zh-CN"/>
                    </w:rPr>
                  </w:pPr>
                  <w:r>
                    <w:rPr>
                      <w:rFonts w:hint="eastAsia"/>
                      <w:color w:val="auto"/>
                      <w:szCs w:val="21"/>
                      <w:highlight w:val="none"/>
                      <w:lang w:val="en-US" w:eastAsia="zh-CN"/>
                    </w:rPr>
                    <w:t>新建</w:t>
                  </w:r>
                </w:p>
              </w:tc>
            </w:tr>
            <w:tr w14:paraId="26A14F1D">
              <w:tblPrEx>
                <w:tblCellMar>
                  <w:top w:w="0" w:type="dxa"/>
                  <w:left w:w="108" w:type="dxa"/>
                  <w:bottom w:w="0" w:type="dxa"/>
                  <w:right w:w="108" w:type="dxa"/>
                </w:tblCellMar>
              </w:tblPrEx>
              <w:trPr>
                <w:trHeight w:val="774" w:hRule="atLeast"/>
                <w:jc w:val="center"/>
              </w:trPr>
              <w:tc>
                <w:tcPr>
                  <w:tcW w:w="662" w:type="dxa"/>
                  <w:vMerge w:val="continue"/>
                  <w:tcBorders>
                    <w:top w:val="single" w:color="auto" w:sz="4" w:space="0"/>
                    <w:bottom w:val="single" w:color="auto" w:sz="4" w:space="0"/>
                    <w:right w:val="single" w:color="auto" w:sz="4" w:space="0"/>
                  </w:tcBorders>
                  <w:noWrap w:val="0"/>
                  <w:vAlign w:val="center"/>
                </w:tcPr>
                <w:p w14:paraId="79ACDC71">
                  <w:pPr>
                    <w:snapToGrid w:val="0"/>
                    <w:jc w:val="center"/>
                    <w:rPr>
                      <w:color w:val="auto"/>
                      <w:kern w:val="36"/>
                      <w:szCs w:val="21"/>
                    </w:rPr>
                  </w:pPr>
                </w:p>
              </w:tc>
              <w:tc>
                <w:tcPr>
                  <w:tcW w:w="843" w:type="dxa"/>
                  <w:vMerge w:val="continue"/>
                  <w:tcBorders>
                    <w:top w:val="single" w:color="auto" w:sz="4" w:space="0"/>
                    <w:left w:val="single" w:color="auto" w:sz="4" w:space="0"/>
                    <w:bottom w:val="single" w:color="auto" w:sz="4" w:space="0"/>
                    <w:right w:val="single" w:color="auto" w:sz="4" w:space="0"/>
                  </w:tcBorders>
                  <w:noWrap w:val="0"/>
                  <w:vAlign w:val="center"/>
                </w:tcPr>
                <w:p w14:paraId="694C28E7">
                  <w:pPr>
                    <w:snapToGrid w:val="0"/>
                    <w:jc w:val="center"/>
                    <w:rPr>
                      <w:color w:val="auto"/>
                      <w:kern w:val="36"/>
                      <w:szCs w:val="21"/>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14:paraId="063B2F35">
                  <w:pPr>
                    <w:snapToGrid w:val="0"/>
                    <w:ind w:firstLine="132"/>
                    <w:jc w:val="center"/>
                    <w:rPr>
                      <w:rFonts w:hint="default" w:hAnsi="宋体" w:eastAsia="宋体"/>
                      <w:color w:val="auto"/>
                      <w:szCs w:val="21"/>
                      <w:lang w:val="en-US" w:eastAsia="zh-CN"/>
                    </w:rPr>
                  </w:pPr>
                  <w:r>
                    <w:rPr>
                      <w:rFonts w:hint="eastAsia" w:hAnsi="宋体"/>
                      <w:color w:val="auto"/>
                      <w:szCs w:val="21"/>
                      <w:lang w:val="en-US" w:eastAsia="zh-CN"/>
                    </w:rPr>
                    <w:t>2#生产车间</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65BDCB96">
                  <w:pPr>
                    <w:snapToGrid w:val="0"/>
                    <w:jc w:val="center"/>
                    <w:rPr>
                      <w:rFonts w:hint="default"/>
                      <w:color w:val="auto"/>
                      <w:szCs w:val="21"/>
                      <w:highlight w:val="none"/>
                      <w:lang w:val="en-US" w:eastAsia="zh-CN"/>
                    </w:rPr>
                  </w:pPr>
                  <w:r>
                    <w:rPr>
                      <w:rFonts w:hint="eastAsia"/>
                      <w:color w:val="auto"/>
                      <w:szCs w:val="21"/>
                      <w:highlight w:val="none"/>
                      <w:lang w:val="en-US" w:eastAsia="zh-CN"/>
                    </w:rPr>
                    <w:t>1栋2层，总</w:t>
                  </w:r>
                  <w:r>
                    <w:rPr>
                      <w:rFonts w:hint="eastAsia"/>
                      <w:color w:val="auto"/>
                      <w:highlight w:val="none"/>
                      <w:lang w:val="en-US" w:eastAsia="zh-CN"/>
                    </w:rPr>
                    <w:t>建筑面积为648</w:t>
                  </w:r>
                  <w:r>
                    <w:rPr>
                      <w:color w:val="auto"/>
                      <w:szCs w:val="21"/>
                      <w:highlight w:val="none"/>
                    </w:rPr>
                    <w:t>m</w:t>
                  </w:r>
                  <w:r>
                    <w:rPr>
                      <w:color w:val="auto"/>
                      <w:szCs w:val="21"/>
                      <w:highlight w:val="none"/>
                      <w:vertAlign w:val="superscript"/>
                    </w:rPr>
                    <w:t>2</w:t>
                  </w:r>
                </w:p>
              </w:tc>
              <w:tc>
                <w:tcPr>
                  <w:tcW w:w="780" w:type="dxa"/>
                  <w:vMerge w:val="continue"/>
                  <w:tcBorders>
                    <w:left w:val="single" w:color="auto" w:sz="4" w:space="0"/>
                  </w:tcBorders>
                  <w:noWrap w:val="0"/>
                  <w:vAlign w:val="center"/>
                </w:tcPr>
                <w:p w14:paraId="1DC8104B">
                  <w:pPr>
                    <w:snapToGrid w:val="0"/>
                    <w:jc w:val="center"/>
                    <w:rPr>
                      <w:rFonts w:hint="eastAsia"/>
                      <w:color w:val="auto"/>
                      <w:szCs w:val="21"/>
                      <w:highlight w:val="none"/>
                      <w:lang w:val="en-US" w:eastAsia="zh-CN"/>
                    </w:rPr>
                  </w:pPr>
                </w:p>
              </w:tc>
            </w:tr>
            <w:tr w14:paraId="558E049E">
              <w:tblPrEx>
                <w:tblCellMar>
                  <w:top w:w="0" w:type="dxa"/>
                  <w:left w:w="108" w:type="dxa"/>
                  <w:bottom w:w="0" w:type="dxa"/>
                  <w:right w:w="108" w:type="dxa"/>
                </w:tblCellMar>
              </w:tblPrEx>
              <w:trPr>
                <w:trHeight w:val="397" w:hRule="atLeast"/>
                <w:jc w:val="center"/>
              </w:trPr>
              <w:tc>
                <w:tcPr>
                  <w:tcW w:w="662" w:type="dxa"/>
                  <w:vMerge w:val="restart"/>
                  <w:tcBorders>
                    <w:top w:val="single" w:color="auto" w:sz="4" w:space="0"/>
                    <w:bottom w:val="single" w:color="auto" w:sz="4" w:space="0"/>
                    <w:right w:val="single" w:color="auto" w:sz="4" w:space="0"/>
                  </w:tcBorders>
                  <w:noWrap w:val="0"/>
                  <w:vAlign w:val="center"/>
                </w:tcPr>
                <w:p w14:paraId="29C280BC">
                  <w:pPr>
                    <w:snapToGrid w:val="0"/>
                    <w:jc w:val="center"/>
                    <w:rPr>
                      <w:rFonts w:hint="default"/>
                      <w:color w:val="auto"/>
                      <w:kern w:val="36"/>
                      <w:szCs w:val="21"/>
                      <w:lang w:val="en-US" w:eastAsia="zh-CN"/>
                    </w:rPr>
                  </w:pPr>
                  <w:r>
                    <w:rPr>
                      <w:rFonts w:hint="eastAsia"/>
                      <w:color w:val="auto"/>
                      <w:kern w:val="36"/>
                      <w:szCs w:val="21"/>
                      <w:lang w:val="en-US" w:eastAsia="zh-CN"/>
                    </w:rPr>
                    <w:t>2</w:t>
                  </w:r>
                </w:p>
              </w:tc>
              <w:tc>
                <w:tcPr>
                  <w:tcW w:w="843" w:type="dxa"/>
                  <w:vMerge w:val="restart"/>
                  <w:tcBorders>
                    <w:top w:val="single" w:color="auto" w:sz="4" w:space="0"/>
                    <w:left w:val="single" w:color="auto" w:sz="4" w:space="0"/>
                    <w:bottom w:val="single" w:color="auto" w:sz="4" w:space="0"/>
                    <w:right w:val="single" w:color="auto" w:sz="4" w:space="0"/>
                  </w:tcBorders>
                  <w:noWrap w:val="0"/>
                  <w:vAlign w:val="center"/>
                </w:tcPr>
                <w:p w14:paraId="056CAD38">
                  <w:pPr>
                    <w:snapToGrid w:val="0"/>
                    <w:jc w:val="center"/>
                    <w:rPr>
                      <w:rFonts w:hint="default"/>
                      <w:color w:val="auto"/>
                      <w:kern w:val="36"/>
                      <w:szCs w:val="21"/>
                      <w:lang w:val="en-US" w:eastAsia="zh-CN"/>
                    </w:rPr>
                  </w:pPr>
                  <w:r>
                    <w:rPr>
                      <w:rFonts w:hint="eastAsia"/>
                      <w:color w:val="auto"/>
                      <w:kern w:val="36"/>
                      <w:szCs w:val="21"/>
                      <w:lang w:val="en-US" w:eastAsia="zh-CN"/>
                    </w:rPr>
                    <w:t>辅助工程</w:t>
                  </w:r>
                </w:p>
              </w:tc>
              <w:tc>
                <w:tcPr>
                  <w:tcW w:w="1555" w:type="dxa"/>
                  <w:tcBorders>
                    <w:top w:val="single" w:color="auto" w:sz="4" w:space="0"/>
                    <w:left w:val="single" w:color="auto" w:sz="4" w:space="0"/>
                    <w:bottom w:val="single" w:color="auto" w:sz="4" w:space="0"/>
                    <w:right w:val="single" w:color="auto" w:sz="4" w:space="0"/>
                  </w:tcBorders>
                  <w:noWrap w:val="0"/>
                  <w:vAlign w:val="center"/>
                </w:tcPr>
                <w:p w14:paraId="55139E5D">
                  <w:pPr>
                    <w:snapToGrid w:val="0"/>
                    <w:ind w:firstLine="132"/>
                    <w:jc w:val="center"/>
                    <w:rPr>
                      <w:rFonts w:hint="default" w:hAnsi="宋体"/>
                      <w:color w:val="auto"/>
                      <w:szCs w:val="21"/>
                      <w:lang w:val="en-US" w:eastAsia="zh-CN"/>
                    </w:rPr>
                  </w:pPr>
                  <w:r>
                    <w:rPr>
                      <w:rFonts w:hint="eastAsia" w:hAnsi="宋体"/>
                      <w:color w:val="auto"/>
                      <w:szCs w:val="21"/>
                      <w:lang w:val="en-US" w:eastAsia="zh-CN"/>
                    </w:rPr>
                    <w:t>原料库</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08BE374A">
                  <w:pPr>
                    <w:snapToGrid w:val="0"/>
                    <w:jc w:val="center"/>
                    <w:rPr>
                      <w:rFonts w:hint="default" w:eastAsia="宋体"/>
                      <w:color w:val="auto"/>
                      <w:szCs w:val="21"/>
                      <w:highlight w:val="none"/>
                      <w:lang w:val="en-US" w:eastAsia="zh-CN"/>
                    </w:rPr>
                  </w:pPr>
                  <w:r>
                    <w:rPr>
                      <w:rFonts w:hint="eastAsia"/>
                      <w:color w:val="auto"/>
                      <w:szCs w:val="21"/>
                      <w:highlight w:val="none"/>
                      <w:lang w:val="en-US" w:eastAsia="zh-CN"/>
                    </w:rPr>
                    <w:t>建筑面积为162</w:t>
                  </w:r>
                  <w:r>
                    <w:rPr>
                      <w:color w:val="auto"/>
                      <w:szCs w:val="21"/>
                      <w:highlight w:val="none"/>
                    </w:rPr>
                    <w:t>m</w:t>
                  </w:r>
                  <w:r>
                    <w:rPr>
                      <w:color w:val="auto"/>
                      <w:szCs w:val="21"/>
                      <w:highlight w:val="none"/>
                      <w:vertAlign w:val="superscript"/>
                    </w:rPr>
                    <w:t>2</w:t>
                  </w:r>
                  <w:r>
                    <w:rPr>
                      <w:rFonts w:hint="eastAsia"/>
                      <w:color w:val="auto"/>
                      <w:szCs w:val="21"/>
                      <w:highlight w:val="none"/>
                      <w:lang w:val="en-US" w:eastAsia="zh-CN"/>
                    </w:rPr>
                    <w:t>，位于2#生产车间内2F</w:t>
                  </w:r>
                </w:p>
              </w:tc>
              <w:tc>
                <w:tcPr>
                  <w:tcW w:w="780" w:type="dxa"/>
                  <w:vMerge w:val="continue"/>
                  <w:tcBorders>
                    <w:left w:val="single" w:color="auto" w:sz="4" w:space="0"/>
                  </w:tcBorders>
                  <w:noWrap w:val="0"/>
                  <w:vAlign w:val="center"/>
                </w:tcPr>
                <w:p w14:paraId="2AC0C722">
                  <w:pPr>
                    <w:snapToGrid w:val="0"/>
                    <w:jc w:val="center"/>
                    <w:rPr>
                      <w:rFonts w:hint="eastAsia" w:hAnsi="宋体"/>
                      <w:color w:val="auto"/>
                      <w:szCs w:val="21"/>
                      <w:lang w:val="en-US" w:eastAsia="zh-CN"/>
                    </w:rPr>
                  </w:pPr>
                </w:p>
              </w:tc>
            </w:tr>
            <w:tr w14:paraId="24ED0C40">
              <w:tblPrEx>
                <w:tblCellMar>
                  <w:top w:w="0" w:type="dxa"/>
                  <w:left w:w="108" w:type="dxa"/>
                  <w:bottom w:w="0" w:type="dxa"/>
                  <w:right w:w="108" w:type="dxa"/>
                </w:tblCellMar>
              </w:tblPrEx>
              <w:trPr>
                <w:trHeight w:val="397" w:hRule="atLeast"/>
                <w:jc w:val="center"/>
              </w:trPr>
              <w:tc>
                <w:tcPr>
                  <w:tcW w:w="662" w:type="dxa"/>
                  <w:vMerge w:val="continue"/>
                  <w:tcBorders>
                    <w:top w:val="single" w:color="auto" w:sz="4" w:space="0"/>
                    <w:bottom w:val="single" w:color="auto" w:sz="4" w:space="0"/>
                    <w:right w:val="single" w:color="auto" w:sz="4" w:space="0"/>
                  </w:tcBorders>
                  <w:noWrap w:val="0"/>
                  <w:vAlign w:val="center"/>
                </w:tcPr>
                <w:p w14:paraId="417B6CEC">
                  <w:pPr>
                    <w:snapToGrid w:val="0"/>
                    <w:jc w:val="center"/>
                    <w:rPr>
                      <w:rFonts w:hint="eastAsia"/>
                      <w:color w:val="auto"/>
                      <w:kern w:val="36"/>
                      <w:szCs w:val="21"/>
                      <w:lang w:val="en-US" w:eastAsia="zh-CN"/>
                    </w:rPr>
                  </w:pPr>
                </w:p>
              </w:tc>
              <w:tc>
                <w:tcPr>
                  <w:tcW w:w="843" w:type="dxa"/>
                  <w:vMerge w:val="continue"/>
                  <w:tcBorders>
                    <w:top w:val="single" w:color="auto" w:sz="4" w:space="0"/>
                    <w:left w:val="single" w:color="auto" w:sz="4" w:space="0"/>
                    <w:bottom w:val="single" w:color="auto" w:sz="4" w:space="0"/>
                    <w:right w:val="single" w:color="auto" w:sz="4" w:space="0"/>
                  </w:tcBorders>
                  <w:noWrap w:val="0"/>
                  <w:vAlign w:val="center"/>
                </w:tcPr>
                <w:p w14:paraId="29D7316A">
                  <w:pPr>
                    <w:snapToGrid w:val="0"/>
                    <w:jc w:val="center"/>
                    <w:rPr>
                      <w:rFonts w:hint="eastAsia"/>
                      <w:color w:val="auto"/>
                      <w:kern w:val="36"/>
                      <w:szCs w:val="21"/>
                      <w:lang w:val="en-US" w:eastAsia="zh-CN"/>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14:paraId="61027942">
                  <w:pPr>
                    <w:snapToGrid w:val="0"/>
                    <w:ind w:firstLine="132"/>
                    <w:jc w:val="center"/>
                    <w:rPr>
                      <w:rFonts w:hint="default" w:hAnsi="宋体"/>
                      <w:color w:val="auto"/>
                      <w:szCs w:val="21"/>
                      <w:lang w:val="en-US" w:eastAsia="zh-CN"/>
                    </w:rPr>
                  </w:pPr>
                  <w:r>
                    <w:rPr>
                      <w:rFonts w:hint="eastAsia" w:hAnsi="宋体"/>
                      <w:color w:val="auto"/>
                      <w:szCs w:val="21"/>
                      <w:lang w:val="en-US" w:eastAsia="zh-CN"/>
                    </w:rPr>
                    <w:t>成品库</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23D26AAF">
                  <w:pPr>
                    <w:snapToGrid w:val="0"/>
                    <w:jc w:val="center"/>
                    <w:rPr>
                      <w:rFonts w:hint="eastAsia"/>
                      <w:color w:val="auto"/>
                      <w:szCs w:val="21"/>
                      <w:highlight w:val="none"/>
                      <w:lang w:val="en-US" w:eastAsia="zh-CN"/>
                    </w:rPr>
                  </w:pPr>
                  <w:r>
                    <w:rPr>
                      <w:rFonts w:hint="eastAsia"/>
                      <w:color w:val="auto"/>
                      <w:szCs w:val="21"/>
                      <w:highlight w:val="none"/>
                      <w:lang w:val="en-US" w:eastAsia="zh-CN"/>
                    </w:rPr>
                    <w:t>建筑面积为178</w:t>
                  </w:r>
                  <w:r>
                    <w:rPr>
                      <w:color w:val="auto"/>
                      <w:szCs w:val="21"/>
                      <w:highlight w:val="none"/>
                    </w:rPr>
                    <w:t>m</w:t>
                  </w:r>
                  <w:r>
                    <w:rPr>
                      <w:color w:val="auto"/>
                      <w:szCs w:val="21"/>
                      <w:highlight w:val="none"/>
                      <w:vertAlign w:val="superscript"/>
                    </w:rPr>
                    <w:t>2</w:t>
                  </w:r>
                  <w:r>
                    <w:rPr>
                      <w:rFonts w:hint="eastAsia"/>
                      <w:color w:val="auto"/>
                      <w:szCs w:val="21"/>
                      <w:highlight w:val="none"/>
                      <w:lang w:val="en-US" w:eastAsia="zh-CN"/>
                    </w:rPr>
                    <w:t>，位于2#生产车间内2F</w:t>
                  </w:r>
                </w:p>
              </w:tc>
              <w:tc>
                <w:tcPr>
                  <w:tcW w:w="780" w:type="dxa"/>
                  <w:vMerge w:val="continue"/>
                  <w:tcBorders>
                    <w:left w:val="single" w:color="auto" w:sz="4" w:space="0"/>
                    <w:bottom w:val="single" w:color="auto" w:sz="4" w:space="0"/>
                  </w:tcBorders>
                  <w:noWrap w:val="0"/>
                  <w:vAlign w:val="center"/>
                </w:tcPr>
                <w:p w14:paraId="0CFE9786">
                  <w:pPr>
                    <w:snapToGrid w:val="0"/>
                    <w:jc w:val="center"/>
                    <w:rPr>
                      <w:rFonts w:hint="eastAsia" w:hAnsi="宋体"/>
                      <w:color w:val="auto"/>
                      <w:szCs w:val="21"/>
                      <w:lang w:val="en-US" w:eastAsia="zh-CN"/>
                    </w:rPr>
                  </w:pPr>
                </w:p>
              </w:tc>
            </w:tr>
            <w:tr w14:paraId="53EB71F4">
              <w:tblPrEx>
                <w:tblCellMar>
                  <w:top w:w="0" w:type="dxa"/>
                  <w:left w:w="108" w:type="dxa"/>
                  <w:bottom w:w="0" w:type="dxa"/>
                  <w:right w:w="108" w:type="dxa"/>
                </w:tblCellMar>
              </w:tblPrEx>
              <w:trPr>
                <w:trHeight w:val="397" w:hRule="atLeast"/>
                <w:jc w:val="center"/>
              </w:trPr>
              <w:tc>
                <w:tcPr>
                  <w:tcW w:w="662" w:type="dxa"/>
                  <w:vMerge w:val="continue"/>
                  <w:tcBorders>
                    <w:top w:val="single" w:color="auto" w:sz="4" w:space="0"/>
                    <w:bottom w:val="single" w:color="auto" w:sz="4" w:space="0"/>
                    <w:right w:val="single" w:color="auto" w:sz="4" w:space="0"/>
                  </w:tcBorders>
                  <w:noWrap w:val="0"/>
                  <w:vAlign w:val="center"/>
                </w:tcPr>
                <w:p w14:paraId="494333DE">
                  <w:pPr>
                    <w:snapToGrid w:val="0"/>
                    <w:jc w:val="center"/>
                    <w:rPr>
                      <w:rFonts w:hint="eastAsia"/>
                      <w:color w:val="auto"/>
                      <w:kern w:val="36"/>
                      <w:szCs w:val="21"/>
                      <w:lang w:val="en-US" w:eastAsia="zh-CN"/>
                    </w:rPr>
                  </w:pPr>
                </w:p>
              </w:tc>
              <w:tc>
                <w:tcPr>
                  <w:tcW w:w="843" w:type="dxa"/>
                  <w:vMerge w:val="continue"/>
                  <w:tcBorders>
                    <w:top w:val="single" w:color="auto" w:sz="4" w:space="0"/>
                    <w:left w:val="single" w:color="auto" w:sz="4" w:space="0"/>
                    <w:bottom w:val="single" w:color="auto" w:sz="4" w:space="0"/>
                    <w:right w:val="single" w:color="auto" w:sz="4" w:space="0"/>
                  </w:tcBorders>
                  <w:noWrap w:val="0"/>
                  <w:vAlign w:val="center"/>
                </w:tcPr>
                <w:p w14:paraId="4A567F32">
                  <w:pPr>
                    <w:snapToGrid w:val="0"/>
                    <w:jc w:val="center"/>
                    <w:rPr>
                      <w:rFonts w:hint="eastAsia"/>
                      <w:color w:val="auto"/>
                      <w:kern w:val="36"/>
                      <w:szCs w:val="21"/>
                      <w:lang w:val="en-US" w:eastAsia="zh-CN"/>
                    </w:rPr>
                  </w:pPr>
                </w:p>
              </w:tc>
              <w:tc>
                <w:tcPr>
                  <w:tcW w:w="155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445820">
                  <w:pPr>
                    <w:snapToGrid w:val="0"/>
                    <w:ind w:firstLine="132" w:firstLineChars="0"/>
                    <w:jc w:val="center"/>
                    <w:rPr>
                      <w:rFonts w:hint="eastAsia" w:ascii="Times New Roman" w:hAnsi="宋体" w:eastAsia="宋体" w:cs="Times New Roman"/>
                      <w:color w:val="auto"/>
                      <w:kern w:val="2"/>
                      <w:sz w:val="21"/>
                      <w:szCs w:val="21"/>
                      <w:lang w:val="en-US" w:eastAsia="zh-CN" w:bidi="ar-SA"/>
                    </w:rPr>
                  </w:pPr>
                  <w:r>
                    <w:rPr>
                      <w:rFonts w:hint="eastAsia" w:hAnsi="宋体"/>
                      <w:color w:val="auto"/>
                      <w:szCs w:val="21"/>
                      <w:lang w:val="en-US" w:eastAsia="zh-CN"/>
                    </w:rPr>
                    <w:t>办公室</w:t>
                  </w:r>
                </w:p>
              </w:tc>
              <w:tc>
                <w:tcPr>
                  <w:tcW w:w="39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9EA823">
                  <w:pPr>
                    <w:snapToGrid w:val="0"/>
                    <w:jc w:val="center"/>
                    <w:rPr>
                      <w:rFonts w:hint="eastAsia"/>
                      <w:color w:val="auto"/>
                      <w:szCs w:val="21"/>
                      <w:highlight w:val="none"/>
                      <w:lang w:val="en-US" w:eastAsia="zh-CN"/>
                    </w:rPr>
                  </w:pPr>
                  <w:r>
                    <w:rPr>
                      <w:rFonts w:hint="eastAsia"/>
                      <w:color w:val="auto"/>
                      <w:szCs w:val="21"/>
                      <w:highlight w:val="none"/>
                      <w:lang w:val="en-US" w:eastAsia="zh-CN"/>
                    </w:rPr>
                    <w:t>1栋1层，建筑面积为36</w:t>
                  </w:r>
                  <w:r>
                    <w:rPr>
                      <w:color w:val="auto"/>
                      <w:szCs w:val="21"/>
                      <w:highlight w:val="none"/>
                    </w:rPr>
                    <w:t>m</w:t>
                  </w:r>
                  <w:r>
                    <w:rPr>
                      <w:color w:val="auto"/>
                      <w:szCs w:val="21"/>
                      <w:highlight w:val="none"/>
                      <w:vertAlign w:val="superscript"/>
                    </w:rPr>
                    <w:t>2</w:t>
                  </w:r>
                </w:p>
              </w:tc>
              <w:tc>
                <w:tcPr>
                  <w:tcW w:w="780" w:type="dxa"/>
                  <w:tcBorders>
                    <w:left w:val="single" w:color="auto" w:sz="4" w:space="0"/>
                    <w:bottom w:val="single" w:color="auto" w:sz="4" w:space="0"/>
                  </w:tcBorders>
                  <w:noWrap w:val="0"/>
                  <w:vAlign w:val="center"/>
                </w:tcPr>
                <w:p w14:paraId="4855225E">
                  <w:pPr>
                    <w:snapToGrid w:val="0"/>
                    <w:jc w:val="center"/>
                    <w:rPr>
                      <w:rFonts w:hint="eastAsia" w:hAnsi="宋体"/>
                      <w:color w:val="auto"/>
                      <w:szCs w:val="21"/>
                      <w:lang w:val="en-US" w:eastAsia="zh-CN"/>
                    </w:rPr>
                  </w:pPr>
                  <w:r>
                    <w:rPr>
                      <w:rFonts w:hint="eastAsia"/>
                      <w:color w:val="auto"/>
                      <w:szCs w:val="21"/>
                      <w:highlight w:val="none"/>
                      <w:lang w:val="en-US" w:eastAsia="zh-CN"/>
                    </w:rPr>
                    <w:t>新建</w:t>
                  </w:r>
                </w:p>
              </w:tc>
            </w:tr>
            <w:tr w14:paraId="46D8E16C">
              <w:tblPrEx>
                <w:tblCellMar>
                  <w:top w:w="0" w:type="dxa"/>
                  <w:left w:w="108" w:type="dxa"/>
                  <w:bottom w:w="0" w:type="dxa"/>
                  <w:right w:w="108" w:type="dxa"/>
                </w:tblCellMar>
              </w:tblPrEx>
              <w:trPr>
                <w:trHeight w:val="397" w:hRule="atLeast"/>
                <w:jc w:val="center"/>
              </w:trPr>
              <w:tc>
                <w:tcPr>
                  <w:tcW w:w="662" w:type="dxa"/>
                  <w:vMerge w:val="restart"/>
                  <w:tcBorders>
                    <w:top w:val="single" w:color="auto" w:sz="4" w:space="0"/>
                    <w:bottom w:val="single" w:color="auto" w:sz="4" w:space="0"/>
                    <w:right w:val="single" w:color="auto" w:sz="4" w:space="0"/>
                  </w:tcBorders>
                  <w:noWrap w:val="0"/>
                  <w:vAlign w:val="center"/>
                </w:tcPr>
                <w:p w14:paraId="5DCBBD36">
                  <w:pPr>
                    <w:snapToGrid w:val="0"/>
                    <w:jc w:val="center"/>
                    <w:rPr>
                      <w:rFonts w:hint="eastAsia" w:eastAsia="宋体"/>
                      <w:color w:val="auto"/>
                      <w:kern w:val="36"/>
                      <w:szCs w:val="21"/>
                      <w:lang w:val="en-US" w:eastAsia="zh-CN"/>
                    </w:rPr>
                  </w:pPr>
                  <w:r>
                    <w:rPr>
                      <w:rFonts w:hint="eastAsia"/>
                      <w:color w:val="auto"/>
                      <w:kern w:val="36"/>
                      <w:szCs w:val="21"/>
                      <w:lang w:val="en-US" w:eastAsia="zh-CN"/>
                    </w:rPr>
                    <w:t>3</w:t>
                  </w:r>
                </w:p>
              </w:tc>
              <w:tc>
                <w:tcPr>
                  <w:tcW w:w="843" w:type="dxa"/>
                  <w:vMerge w:val="restart"/>
                  <w:tcBorders>
                    <w:top w:val="single" w:color="auto" w:sz="4" w:space="0"/>
                    <w:left w:val="single" w:color="auto" w:sz="4" w:space="0"/>
                    <w:bottom w:val="single" w:color="auto" w:sz="4" w:space="0"/>
                    <w:right w:val="single" w:color="auto" w:sz="4" w:space="0"/>
                  </w:tcBorders>
                  <w:noWrap w:val="0"/>
                  <w:vAlign w:val="center"/>
                </w:tcPr>
                <w:p w14:paraId="6DA43401">
                  <w:pPr>
                    <w:snapToGrid w:val="0"/>
                    <w:jc w:val="center"/>
                    <w:rPr>
                      <w:rFonts w:hint="eastAsia" w:eastAsia="宋体"/>
                      <w:color w:val="auto"/>
                      <w:kern w:val="36"/>
                      <w:szCs w:val="21"/>
                      <w:lang w:val="en-US" w:eastAsia="zh-CN"/>
                    </w:rPr>
                  </w:pPr>
                  <w:r>
                    <w:rPr>
                      <w:rFonts w:hint="eastAsia"/>
                      <w:color w:val="auto"/>
                      <w:kern w:val="36"/>
                      <w:szCs w:val="21"/>
                      <w:lang w:val="en-US" w:eastAsia="zh-CN"/>
                    </w:rPr>
                    <w:t>环保工程</w:t>
                  </w:r>
                </w:p>
              </w:tc>
              <w:tc>
                <w:tcPr>
                  <w:tcW w:w="1555" w:type="dxa"/>
                  <w:tcBorders>
                    <w:top w:val="single" w:color="auto" w:sz="4" w:space="0"/>
                    <w:left w:val="single" w:color="auto" w:sz="4" w:space="0"/>
                    <w:bottom w:val="single" w:color="auto" w:sz="4" w:space="0"/>
                    <w:right w:val="single" w:color="auto" w:sz="4" w:space="0"/>
                  </w:tcBorders>
                  <w:noWrap w:val="0"/>
                  <w:vAlign w:val="center"/>
                </w:tcPr>
                <w:p w14:paraId="7A22BE82">
                  <w:pPr>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废水治理措施</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3EF5B762">
                  <w:pPr>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化粪池1座</w:t>
                  </w:r>
                </w:p>
              </w:tc>
              <w:tc>
                <w:tcPr>
                  <w:tcW w:w="780" w:type="dxa"/>
                  <w:tcBorders>
                    <w:top w:val="single" w:color="auto" w:sz="4" w:space="0"/>
                    <w:left w:val="single" w:color="auto" w:sz="4" w:space="0"/>
                    <w:bottom w:val="single" w:color="auto" w:sz="4" w:space="0"/>
                    <w:right w:val="nil"/>
                  </w:tcBorders>
                  <w:noWrap w:val="0"/>
                  <w:vAlign w:val="center"/>
                </w:tcPr>
                <w:p w14:paraId="14FC75FB">
                  <w:pPr>
                    <w:snapToGrid w:val="0"/>
                    <w:jc w:val="center"/>
                    <w:rPr>
                      <w:rFonts w:hint="default" w:hAnsi="宋体" w:eastAsia="宋体"/>
                      <w:color w:val="auto"/>
                      <w:szCs w:val="21"/>
                      <w:lang w:val="en-US" w:eastAsia="zh-CN"/>
                    </w:rPr>
                  </w:pPr>
                  <w:r>
                    <w:rPr>
                      <w:rFonts w:hint="eastAsia" w:hAnsi="宋体"/>
                      <w:color w:val="auto"/>
                      <w:szCs w:val="21"/>
                      <w:lang w:val="en-US" w:eastAsia="zh-CN"/>
                    </w:rPr>
                    <w:t>新建</w:t>
                  </w:r>
                </w:p>
              </w:tc>
            </w:tr>
            <w:tr w14:paraId="13ABD679">
              <w:tblPrEx>
                <w:tblCellMar>
                  <w:top w:w="0" w:type="dxa"/>
                  <w:left w:w="108" w:type="dxa"/>
                  <w:bottom w:w="0" w:type="dxa"/>
                  <w:right w:w="108" w:type="dxa"/>
                </w:tblCellMar>
              </w:tblPrEx>
              <w:trPr>
                <w:trHeight w:val="397" w:hRule="atLeast"/>
                <w:jc w:val="center"/>
              </w:trPr>
              <w:tc>
                <w:tcPr>
                  <w:tcW w:w="662" w:type="dxa"/>
                  <w:vMerge w:val="continue"/>
                  <w:tcBorders>
                    <w:top w:val="single" w:color="auto" w:sz="4" w:space="0"/>
                    <w:bottom w:val="single" w:color="auto" w:sz="4" w:space="0"/>
                    <w:right w:val="single" w:color="auto" w:sz="4" w:space="0"/>
                  </w:tcBorders>
                  <w:noWrap w:val="0"/>
                  <w:vAlign w:val="center"/>
                </w:tcPr>
                <w:p w14:paraId="7BAB8457">
                  <w:pPr>
                    <w:widowControl/>
                    <w:snapToGrid w:val="0"/>
                    <w:jc w:val="left"/>
                    <w:rPr>
                      <w:color w:val="auto"/>
                      <w:kern w:val="36"/>
                      <w:szCs w:val="21"/>
                    </w:rPr>
                  </w:pPr>
                </w:p>
              </w:tc>
              <w:tc>
                <w:tcPr>
                  <w:tcW w:w="843" w:type="dxa"/>
                  <w:vMerge w:val="continue"/>
                  <w:tcBorders>
                    <w:top w:val="single" w:color="auto" w:sz="4" w:space="0"/>
                    <w:left w:val="single" w:color="auto" w:sz="4" w:space="0"/>
                    <w:bottom w:val="single" w:color="auto" w:sz="4" w:space="0"/>
                    <w:right w:val="single" w:color="auto" w:sz="4" w:space="0"/>
                  </w:tcBorders>
                  <w:noWrap w:val="0"/>
                  <w:vAlign w:val="center"/>
                </w:tcPr>
                <w:p w14:paraId="2D9EF071">
                  <w:pPr>
                    <w:widowControl/>
                    <w:snapToGrid w:val="0"/>
                    <w:jc w:val="left"/>
                    <w:rPr>
                      <w:color w:val="auto"/>
                      <w:kern w:val="36"/>
                      <w:szCs w:val="21"/>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14:paraId="3E38AF20">
                  <w:pPr>
                    <w:snapToGrid w:val="0"/>
                    <w:jc w:val="center"/>
                    <w:rPr>
                      <w:color w:val="auto"/>
                      <w:kern w:val="36"/>
                      <w:szCs w:val="21"/>
                    </w:rPr>
                  </w:pPr>
                  <w:r>
                    <w:rPr>
                      <w:color w:val="auto"/>
                      <w:kern w:val="36"/>
                      <w:szCs w:val="21"/>
                    </w:rPr>
                    <w:t>固废治理措施</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42FE2530">
                  <w:pPr>
                    <w:snapToGrid w:val="0"/>
                    <w:jc w:val="center"/>
                    <w:rPr>
                      <w:color w:val="auto"/>
                      <w:kern w:val="36"/>
                      <w:szCs w:val="21"/>
                    </w:rPr>
                  </w:pPr>
                  <w:r>
                    <w:rPr>
                      <w:rFonts w:hint="eastAsia"/>
                      <w:color w:val="auto"/>
                      <w:kern w:val="36"/>
                      <w:szCs w:val="21"/>
                    </w:rPr>
                    <w:t>一般固废暂存间一座</w:t>
                  </w:r>
                  <w:r>
                    <w:rPr>
                      <w:color w:val="auto"/>
                      <w:kern w:val="36"/>
                      <w:szCs w:val="21"/>
                    </w:rPr>
                    <w:t>，</w:t>
                  </w:r>
                  <w:r>
                    <w:rPr>
                      <w:color w:val="auto"/>
                      <w:szCs w:val="21"/>
                    </w:rPr>
                    <w:t>建筑面积</w:t>
                  </w:r>
                  <w:r>
                    <w:rPr>
                      <w:rFonts w:hint="eastAsia"/>
                      <w:color w:val="auto"/>
                      <w:szCs w:val="21"/>
                      <w:lang w:val="en-US" w:eastAsia="zh-CN"/>
                    </w:rPr>
                    <w:t>为5</w:t>
                  </w:r>
                  <w:r>
                    <w:rPr>
                      <w:color w:val="auto"/>
                      <w:szCs w:val="21"/>
                    </w:rPr>
                    <w:t>m</w:t>
                  </w:r>
                  <w:r>
                    <w:rPr>
                      <w:color w:val="auto"/>
                      <w:szCs w:val="21"/>
                      <w:vertAlign w:val="superscript"/>
                    </w:rPr>
                    <w:t>2</w:t>
                  </w:r>
                </w:p>
              </w:tc>
              <w:tc>
                <w:tcPr>
                  <w:tcW w:w="780" w:type="dxa"/>
                  <w:tcBorders>
                    <w:top w:val="single" w:color="auto" w:sz="4" w:space="0"/>
                    <w:left w:val="single" w:color="auto" w:sz="4" w:space="0"/>
                    <w:bottom w:val="single" w:color="auto" w:sz="4" w:space="0"/>
                    <w:right w:val="nil"/>
                  </w:tcBorders>
                  <w:noWrap w:val="0"/>
                  <w:vAlign w:val="center"/>
                </w:tcPr>
                <w:p w14:paraId="46EE75B8">
                  <w:pPr>
                    <w:snapToGrid w:val="0"/>
                    <w:jc w:val="center"/>
                    <w:rPr>
                      <w:rFonts w:hint="default" w:hAnsi="宋体" w:eastAsia="宋体"/>
                      <w:color w:val="auto"/>
                      <w:szCs w:val="21"/>
                      <w:lang w:val="en-US" w:eastAsia="zh-CN"/>
                    </w:rPr>
                  </w:pPr>
                  <w:r>
                    <w:rPr>
                      <w:rFonts w:hint="eastAsia" w:hAnsi="宋体"/>
                      <w:color w:val="auto"/>
                      <w:szCs w:val="21"/>
                      <w:lang w:val="en-US" w:eastAsia="zh-CN"/>
                    </w:rPr>
                    <w:t>新建</w:t>
                  </w:r>
                </w:p>
              </w:tc>
            </w:tr>
            <w:tr w14:paraId="7DDE510C">
              <w:tblPrEx>
                <w:tblCellMar>
                  <w:top w:w="0" w:type="dxa"/>
                  <w:left w:w="108" w:type="dxa"/>
                  <w:bottom w:w="0" w:type="dxa"/>
                  <w:right w:w="108" w:type="dxa"/>
                </w:tblCellMar>
              </w:tblPrEx>
              <w:trPr>
                <w:trHeight w:val="397" w:hRule="atLeast"/>
                <w:jc w:val="center"/>
              </w:trPr>
              <w:tc>
                <w:tcPr>
                  <w:tcW w:w="662" w:type="dxa"/>
                  <w:vMerge w:val="restart"/>
                  <w:tcBorders>
                    <w:top w:val="single" w:color="auto" w:sz="4" w:space="0"/>
                    <w:bottom w:val="single" w:color="auto" w:sz="8" w:space="0"/>
                    <w:right w:val="single" w:color="auto" w:sz="4" w:space="0"/>
                  </w:tcBorders>
                  <w:noWrap w:val="0"/>
                  <w:vAlign w:val="center"/>
                </w:tcPr>
                <w:p w14:paraId="1479CAC1">
                  <w:pPr>
                    <w:snapToGrid w:val="0"/>
                    <w:jc w:val="center"/>
                    <w:rPr>
                      <w:color w:val="auto"/>
                      <w:kern w:val="36"/>
                      <w:szCs w:val="21"/>
                    </w:rPr>
                  </w:pPr>
                  <w:r>
                    <w:rPr>
                      <w:color w:val="auto"/>
                      <w:kern w:val="36"/>
                      <w:szCs w:val="21"/>
                    </w:rPr>
                    <w:t>4</w:t>
                  </w:r>
                </w:p>
              </w:tc>
              <w:tc>
                <w:tcPr>
                  <w:tcW w:w="843" w:type="dxa"/>
                  <w:vMerge w:val="restart"/>
                  <w:tcBorders>
                    <w:top w:val="single" w:color="auto" w:sz="4" w:space="0"/>
                    <w:left w:val="single" w:color="auto" w:sz="4" w:space="0"/>
                    <w:bottom w:val="single" w:color="auto" w:sz="8" w:space="0"/>
                    <w:right w:val="single" w:color="auto" w:sz="4" w:space="0"/>
                  </w:tcBorders>
                  <w:noWrap w:val="0"/>
                  <w:vAlign w:val="center"/>
                </w:tcPr>
                <w:p w14:paraId="40870E6A">
                  <w:pPr>
                    <w:snapToGrid w:val="0"/>
                    <w:jc w:val="center"/>
                    <w:rPr>
                      <w:color w:val="auto"/>
                      <w:kern w:val="36"/>
                      <w:szCs w:val="21"/>
                    </w:rPr>
                  </w:pPr>
                  <w:r>
                    <w:rPr>
                      <w:color w:val="auto"/>
                      <w:kern w:val="36"/>
                      <w:szCs w:val="21"/>
                    </w:rPr>
                    <w:t>公用工程</w:t>
                  </w:r>
                </w:p>
              </w:tc>
              <w:tc>
                <w:tcPr>
                  <w:tcW w:w="1555" w:type="dxa"/>
                  <w:tcBorders>
                    <w:top w:val="single" w:color="auto" w:sz="4" w:space="0"/>
                    <w:left w:val="single" w:color="auto" w:sz="4" w:space="0"/>
                    <w:bottom w:val="single" w:color="auto" w:sz="4" w:space="0"/>
                    <w:right w:val="single" w:color="auto" w:sz="4" w:space="0"/>
                  </w:tcBorders>
                  <w:noWrap w:val="0"/>
                  <w:vAlign w:val="center"/>
                </w:tcPr>
                <w:p w14:paraId="6C8A0359">
                  <w:pPr>
                    <w:snapToGrid w:val="0"/>
                    <w:ind w:firstLine="132"/>
                    <w:jc w:val="center"/>
                    <w:rPr>
                      <w:color w:val="auto"/>
                      <w:kern w:val="36"/>
                      <w:szCs w:val="21"/>
                    </w:rPr>
                  </w:pPr>
                  <w:r>
                    <w:rPr>
                      <w:color w:val="auto"/>
                      <w:kern w:val="36"/>
                      <w:szCs w:val="21"/>
                    </w:rPr>
                    <w:t>给水</w:t>
                  </w:r>
                </w:p>
              </w:tc>
              <w:tc>
                <w:tcPr>
                  <w:tcW w:w="3968" w:type="dxa"/>
                  <w:tcBorders>
                    <w:top w:val="single" w:color="auto" w:sz="4" w:space="0"/>
                    <w:left w:val="single" w:color="auto" w:sz="4" w:space="0"/>
                    <w:bottom w:val="single" w:color="auto" w:sz="4" w:space="0"/>
                    <w:right w:val="single" w:color="auto" w:sz="4" w:space="0"/>
                  </w:tcBorders>
                  <w:noWrap w:val="0"/>
                  <w:vAlign w:val="center"/>
                </w:tcPr>
                <w:p w14:paraId="51FF0A98">
                  <w:pPr>
                    <w:jc w:val="center"/>
                    <w:rPr>
                      <w:rFonts w:hint="default"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市政供水</w:t>
                  </w:r>
                </w:p>
              </w:tc>
              <w:tc>
                <w:tcPr>
                  <w:tcW w:w="780" w:type="dxa"/>
                  <w:vMerge w:val="restart"/>
                  <w:tcBorders>
                    <w:top w:val="single" w:color="auto" w:sz="4" w:space="0"/>
                    <w:left w:val="single" w:color="auto" w:sz="4" w:space="0"/>
                    <w:bottom w:val="single" w:color="auto" w:sz="8" w:space="0"/>
                  </w:tcBorders>
                  <w:noWrap w:val="0"/>
                  <w:vAlign w:val="center"/>
                </w:tcPr>
                <w:p w14:paraId="57BAB7A8">
                  <w:pPr>
                    <w:snapToGrid w:val="0"/>
                    <w:jc w:val="center"/>
                    <w:rPr>
                      <w:color w:val="auto"/>
                      <w:kern w:val="36"/>
                      <w:szCs w:val="21"/>
                    </w:rPr>
                  </w:pPr>
                  <w:r>
                    <w:rPr>
                      <w:color w:val="auto"/>
                      <w:kern w:val="36"/>
                      <w:szCs w:val="21"/>
                    </w:rPr>
                    <w:t>/</w:t>
                  </w:r>
                </w:p>
              </w:tc>
            </w:tr>
            <w:tr w14:paraId="2ABF23BE">
              <w:tblPrEx>
                <w:tblCellMar>
                  <w:top w:w="0" w:type="dxa"/>
                  <w:left w:w="108" w:type="dxa"/>
                  <w:bottom w:w="0" w:type="dxa"/>
                  <w:right w:w="108" w:type="dxa"/>
                </w:tblCellMar>
              </w:tblPrEx>
              <w:trPr>
                <w:trHeight w:val="397" w:hRule="atLeast"/>
                <w:jc w:val="center"/>
              </w:trPr>
              <w:tc>
                <w:tcPr>
                  <w:tcW w:w="662" w:type="dxa"/>
                  <w:vMerge w:val="continue"/>
                  <w:tcBorders>
                    <w:top w:val="single" w:color="auto" w:sz="8" w:space="0"/>
                    <w:bottom w:val="single" w:color="auto" w:sz="8" w:space="0"/>
                    <w:right w:val="single" w:color="auto" w:sz="4" w:space="0"/>
                  </w:tcBorders>
                  <w:noWrap w:val="0"/>
                  <w:vAlign w:val="center"/>
                </w:tcPr>
                <w:p w14:paraId="5E47BD5F">
                  <w:pPr>
                    <w:widowControl/>
                    <w:snapToGrid w:val="0"/>
                    <w:jc w:val="left"/>
                    <w:rPr>
                      <w:color w:val="auto"/>
                      <w:kern w:val="36"/>
                      <w:szCs w:val="21"/>
                    </w:rPr>
                  </w:pPr>
                </w:p>
              </w:tc>
              <w:tc>
                <w:tcPr>
                  <w:tcW w:w="843" w:type="dxa"/>
                  <w:vMerge w:val="continue"/>
                  <w:tcBorders>
                    <w:top w:val="single" w:color="auto" w:sz="8" w:space="0"/>
                    <w:left w:val="single" w:color="auto" w:sz="4" w:space="0"/>
                    <w:bottom w:val="single" w:color="auto" w:sz="8" w:space="0"/>
                    <w:right w:val="single" w:color="auto" w:sz="4" w:space="0"/>
                  </w:tcBorders>
                  <w:noWrap w:val="0"/>
                  <w:vAlign w:val="center"/>
                </w:tcPr>
                <w:p w14:paraId="6D61ACB4">
                  <w:pPr>
                    <w:widowControl/>
                    <w:snapToGrid w:val="0"/>
                    <w:jc w:val="left"/>
                    <w:rPr>
                      <w:color w:val="auto"/>
                      <w:kern w:val="36"/>
                      <w:szCs w:val="21"/>
                    </w:rPr>
                  </w:pPr>
                </w:p>
              </w:tc>
              <w:tc>
                <w:tcPr>
                  <w:tcW w:w="1555" w:type="dxa"/>
                  <w:tcBorders>
                    <w:top w:val="single" w:color="auto" w:sz="4" w:space="0"/>
                    <w:left w:val="single" w:color="auto" w:sz="4" w:space="0"/>
                    <w:bottom w:val="single" w:color="auto" w:sz="8" w:space="0"/>
                    <w:right w:val="single" w:color="auto" w:sz="4" w:space="0"/>
                  </w:tcBorders>
                  <w:noWrap w:val="0"/>
                  <w:vAlign w:val="center"/>
                </w:tcPr>
                <w:p w14:paraId="414D6179">
                  <w:pPr>
                    <w:snapToGrid w:val="0"/>
                    <w:ind w:firstLine="132"/>
                    <w:jc w:val="center"/>
                    <w:rPr>
                      <w:color w:val="auto"/>
                      <w:kern w:val="36"/>
                      <w:szCs w:val="21"/>
                    </w:rPr>
                  </w:pPr>
                  <w:r>
                    <w:rPr>
                      <w:color w:val="auto"/>
                      <w:kern w:val="36"/>
                      <w:szCs w:val="21"/>
                    </w:rPr>
                    <w:t>供电</w:t>
                  </w:r>
                </w:p>
              </w:tc>
              <w:tc>
                <w:tcPr>
                  <w:tcW w:w="3968" w:type="dxa"/>
                  <w:tcBorders>
                    <w:top w:val="single" w:color="auto" w:sz="4" w:space="0"/>
                    <w:left w:val="single" w:color="auto" w:sz="4" w:space="0"/>
                    <w:bottom w:val="single" w:color="auto" w:sz="8" w:space="0"/>
                    <w:right w:val="single" w:color="auto" w:sz="4" w:space="0"/>
                  </w:tcBorders>
                  <w:noWrap w:val="0"/>
                  <w:vAlign w:val="center"/>
                </w:tcPr>
                <w:p w14:paraId="05C5AD8C">
                  <w:pPr>
                    <w:jc w:val="center"/>
                    <w:rPr>
                      <w:rFonts w:ascii="Times New Roman" w:hAnsi="Times New Roman" w:eastAsia="宋体" w:cs="Times New Roman"/>
                      <w:color w:val="auto"/>
                      <w:kern w:val="2"/>
                      <w:sz w:val="21"/>
                      <w:szCs w:val="21"/>
                      <w:lang w:val="en-US" w:eastAsia="zh-CN" w:bidi="ar-SA"/>
                    </w:rPr>
                  </w:pPr>
                  <w:r>
                    <w:rPr>
                      <w:color w:val="auto"/>
                      <w:sz w:val="21"/>
                      <w:szCs w:val="21"/>
                    </w:rPr>
                    <w:t>国家电网</w:t>
                  </w:r>
                </w:p>
              </w:tc>
              <w:tc>
                <w:tcPr>
                  <w:tcW w:w="780" w:type="dxa"/>
                  <w:vMerge w:val="continue"/>
                  <w:tcBorders>
                    <w:top w:val="single" w:color="auto" w:sz="8" w:space="0"/>
                    <w:left w:val="single" w:color="auto" w:sz="4" w:space="0"/>
                    <w:bottom w:val="single" w:color="auto" w:sz="8" w:space="0"/>
                  </w:tcBorders>
                  <w:noWrap w:val="0"/>
                  <w:vAlign w:val="center"/>
                </w:tcPr>
                <w:p w14:paraId="61268F3E">
                  <w:pPr>
                    <w:widowControl/>
                    <w:snapToGrid w:val="0"/>
                    <w:jc w:val="left"/>
                    <w:rPr>
                      <w:color w:val="auto"/>
                      <w:kern w:val="36"/>
                      <w:szCs w:val="21"/>
                    </w:rPr>
                  </w:pPr>
                </w:p>
              </w:tc>
            </w:tr>
          </w:tbl>
          <w:p w14:paraId="5380989B">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b/>
                <w:color w:val="auto"/>
                <w:sz w:val="24"/>
              </w:rPr>
            </w:pPr>
            <w:r>
              <w:rPr>
                <w:rFonts w:hint="eastAsia"/>
                <w:b/>
                <w:color w:val="auto"/>
                <w:sz w:val="24"/>
              </w:rPr>
              <w:t>3、产品方案</w:t>
            </w:r>
          </w:p>
          <w:p w14:paraId="18DCF87D">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ascii="Times New Roman" w:hAnsi="黑体" w:eastAsia="黑体"/>
                <w:color w:val="auto"/>
                <w:sz w:val="24"/>
                <w:szCs w:val="24"/>
              </w:rPr>
            </w:pPr>
            <w:r>
              <w:rPr>
                <w:rFonts w:hint="eastAsia"/>
                <w:color w:val="auto"/>
                <w:sz w:val="24"/>
              </w:rPr>
              <w:t>本项目</w:t>
            </w:r>
            <w:r>
              <w:rPr>
                <w:rFonts w:hint="eastAsia"/>
                <w:color w:val="auto"/>
                <w:sz w:val="24"/>
                <w:lang w:val="en-US" w:eastAsia="zh-CN"/>
              </w:rPr>
              <w:t>建成后</w:t>
            </w:r>
            <w:r>
              <w:rPr>
                <w:rFonts w:hint="eastAsia"/>
                <w:color w:val="auto"/>
                <w:sz w:val="24"/>
              </w:rPr>
              <w:t>产品方案情况如下表。</w:t>
            </w:r>
          </w:p>
          <w:p w14:paraId="06FE775B">
            <w:pPr>
              <w:pStyle w:val="21"/>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0" w:firstLineChars="0"/>
              <w:jc w:val="center"/>
              <w:textAlignment w:val="auto"/>
              <w:rPr>
                <w:rFonts w:hint="eastAsia" w:ascii="Times New Roman" w:hAnsi="Times New Roman" w:eastAsia="黑体" w:cs="Times New Roman"/>
                <w:bCs/>
                <w:color w:val="auto"/>
                <w:kern w:val="2"/>
                <w:sz w:val="24"/>
                <w:szCs w:val="24"/>
                <w:lang w:val="en-US" w:eastAsia="zh-CN" w:bidi="ar-SA"/>
              </w:rPr>
            </w:pPr>
            <w:r>
              <w:rPr>
                <w:rFonts w:hint="eastAsia" w:ascii="Times New Roman" w:hAnsi="Times New Roman" w:eastAsia="黑体" w:cs="Times New Roman"/>
                <w:bCs/>
                <w:color w:val="auto"/>
                <w:kern w:val="2"/>
                <w:sz w:val="24"/>
                <w:szCs w:val="24"/>
                <w:lang w:val="en-US" w:eastAsia="zh-CN" w:bidi="ar-SA"/>
              </w:rPr>
              <w:t>表8     全厂产品方案情况一览表</w:t>
            </w:r>
          </w:p>
          <w:tbl>
            <w:tblPr>
              <w:tblStyle w:val="17"/>
              <w:tblW w:w="4998"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942"/>
              <w:gridCol w:w="1396"/>
              <w:gridCol w:w="1403"/>
              <w:gridCol w:w="3092"/>
            </w:tblGrid>
            <w:tr w14:paraId="2EA5595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PrEx>
              <w:trPr>
                <w:trHeight w:val="397" w:hRule="atLeast"/>
                <w:jc w:val="center"/>
              </w:trPr>
              <w:tc>
                <w:tcPr>
                  <w:tcW w:w="1239" w:type="pct"/>
                  <w:tcBorders>
                    <w:bottom w:val="single" w:color="auto" w:sz="8" w:space="0"/>
                  </w:tcBorders>
                  <w:noWrap w:val="0"/>
                  <w:vAlign w:val="center"/>
                </w:tcPr>
                <w:p w14:paraId="11D81BD1">
                  <w:pPr>
                    <w:adjustRightInd w:val="0"/>
                    <w:snapToGrid w:val="0"/>
                    <w:jc w:val="center"/>
                    <w:rPr>
                      <w:b/>
                      <w:color w:val="auto"/>
                      <w:szCs w:val="21"/>
                    </w:rPr>
                  </w:pPr>
                  <w:r>
                    <w:rPr>
                      <w:rFonts w:hint="eastAsia"/>
                      <w:b/>
                      <w:color w:val="auto"/>
                      <w:szCs w:val="21"/>
                    </w:rPr>
                    <w:t>序</w:t>
                  </w:r>
                  <w:r>
                    <w:rPr>
                      <w:b/>
                      <w:color w:val="auto"/>
                      <w:szCs w:val="21"/>
                    </w:rPr>
                    <w:t>号</w:t>
                  </w:r>
                </w:p>
              </w:tc>
              <w:tc>
                <w:tcPr>
                  <w:tcW w:w="1786" w:type="pct"/>
                  <w:gridSpan w:val="2"/>
                  <w:tcBorders>
                    <w:bottom w:val="single" w:color="auto" w:sz="8" w:space="0"/>
                  </w:tcBorders>
                  <w:noWrap w:val="0"/>
                  <w:vAlign w:val="center"/>
                </w:tcPr>
                <w:p w14:paraId="459F61D2">
                  <w:pPr>
                    <w:adjustRightInd w:val="0"/>
                    <w:snapToGrid w:val="0"/>
                    <w:jc w:val="center"/>
                    <w:rPr>
                      <w:rFonts w:hint="default" w:eastAsia="宋体"/>
                      <w:b/>
                      <w:color w:val="auto"/>
                      <w:szCs w:val="21"/>
                      <w:lang w:val="en-US" w:eastAsia="zh-CN"/>
                    </w:rPr>
                  </w:pPr>
                  <w:r>
                    <w:rPr>
                      <w:rFonts w:hint="eastAsia"/>
                      <w:b/>
                      <w:color w:val="auto"/>
                      <w:szCs w:val="21"/>
                      <w:lang w:val="en-US" w:eastAsia="zh-CN"/>
                    </w:rPr>
                    <w:t>产品</w:t>
                  </w:r>
                </w:p>
              </w:tc>
              <w:tc>
                <w:tcPr>
                  <w:tcW w:w="1973" w:type="pct"/>
                  <w:tcBorders>
                    <w:bottom w:val="single" w:color="auto" w:sz="8" w:space="0"/>
                  </w:tcBorders>
                  <w:noWrap w:val="0"/>
                  <w:vAlign w:val="center"/>
                </w:tcPr>
                <w:p w14:paraId="49E544C2">
                  <w:pPr>
                    <w:adjustRightInd w:val="0"/>
                    <w:snapToGrid w:val="0"/>
                    <w:jc w:val="center"/>
                    <w:rPr>
                      <w:rFonts w:hint="default" w:ascii="Times New Roman" w:hAnsi="Times New Roman" w:eastAsia="宋体" w:cs="Times New Roman"/>
                      <w:b/>
                      <w:color w:val="auto"/>
                      <w:kern w:val="2"/>
                      <w:sz w:val="21"/>
                      <w:szCs w:val="21"/>
                      <w:lang w:val="en-US" w:eastAsia="zh-CN" w:bidi="ar-SA"/>
                    </w:rPr>
                  </w:pPr>
                  <w:r>
                    <w:rPr>
                      <w:rFonts w:hint="eastAsia"/>
                      <w:b/>
                      <w:color w:val="auto"/>
                      <w:szCs w:val="21"/>
                      <w:lang w:val="en-US" w:eastAsia="zh-CN"/>
                    </w:rPr>
                    <w:t>产品方案情况（万只/a）</w:t>
                  </w:r>
                </w:p>
              </w:tc>
            </w:tr>
            <w:tr w14:paraId="0041DC26">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39" w:type="pct"/>
                  <w:vMerge w:val="restart"/>
                  <w:tcBorders>
                    <w:top w:val="single" w:color="auto" w:sz="8" w:space="0"/>
                  </w:tcBorders>
                  <w:noWrap w:val="0"/>
                  <w:vAlign w:val="center"/>
                </w:tcPr>
                <w:p w14:paraId="799AE8A9">
                  <w:pPr>
                    <w:adjustRightInd w:val="0"/>
                    <w:snapToGrid w:val="0"/>
                    <w:jc w:val="center"/>
                    <w:rPr>
                      <w:rFonts w:hint="eastAsia" w:eastAsia="宋体"/>
                      <w:color w:val="auto"/>
                      <w:szCs w:val="21"/>
                      <w:lang w:val="en-US" w:eastAsia="zh-CN"/>
                    </w:rPr>
                  </w:pPr>
                  <w:r>
                    <w:rPr>
                      <w:rFonts w:hint="eastAsia"/>
                      <w:color w:val="auto"/>
                      <w:szCs w:val="21"/>
                      <w:lang w:val="en-US" w:eastAsia="zh-CN"/>
                    </w:rPr>
                    <w:t>1</w:t>
                  </w:r>
                </w:p>
              </w:tc>
              <w:tc>
                <w:tcPr>
                  <w:tcW w:w="891" w:type="pct"/>
                  <w:vMerge w:val="restart"/>
                  <w:tcBorders>
                    <w:top w:val="single" w:color="auto" w:sz="8" w:space="0"/>
                  </w:tcBorders>
                  <w:noWrap w:val="0"/>
                  <w:vAlign w:val="center"/>
                </w:tcPr>
                <w:p w14:paraId="53618E93">
                  <w:pPr>
                    <w:adjustRightInd w:val="0"/>
                    <w:snapToGrid w:val="0"/>
                    <w:jc w:val="center"/>
                    <w:rPr>
                      <w:rFonts w:hint="default" w:eastAsia="宋体"/>
                      <w:color w:val="auto"/>
                      <w:szCs w:val="21"/>
                      <w:lang w:val="en-US" w:eastAsia="zh-CN"/>
                    </w:rPr>
                  </w:pPr>
                  <w:r>
                    <w:rPr>
                      <w:rFonts w:hint="eastAsia"/>
                      <w:color w:val="auto"/>
                      <w:szCs w:val="21"/>
                      <w:lang w:val="en-US" w:eastAsia="zh-CN"/>
                    </w:rPr>
                    <w:t>镍氢电池</w:t>
                  </w:r>
                </w:p>
              </w:tc>
              <w:tc>
                <w:tcPr>
                  <w:tcW w:w="894" w:type="pct"/>
                  <w:tcBorders>
                    <w:top w:val="single" w:color="auto" w:sz="8" w:space="0"/>
                  </w:tcBorders>
                  <w:noWrap w:val="0"/>
                  <w:vAlign w:val="center"/>
                </w:tcPr>
                <w:p w14:paraId="1C9F5E4D">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eastAsia"/>
                      <w:color w:val="auto"/>
                      <w:szCs w:val="21"/>
                      <w:lang w:val="en-US" w:eastAsia="zh-CN"/>
                    </w:rPr>
                  </w:pPr>
                  <w:r>
                    <w:rPr>
                      <w:rFonts w:hint="eastAsia"/>
                      <w:color w:val="auto"/>
                      <w:lang w:val="en-US" w:eastAsia="zh-CN"/>
                    </w:rPr>
                    <w:t>5号电池</w:t>
                  </w:r>
                </w:p>
              </w:tc>
              <w:tc>
                <w:tcPr>
                  <w:tcW w:w="1973" w:type="pct"/>
                  <w:tcBorders>
                    <w:top w:val="single" w:color="auto" w:sz="8" w:space="0"/>
                  </w:tcBorders>
                  <w:noWrap w:val="0"/>
                  <w:vAlign w:val="center"/>
                </w:tcPr>
                <w:p w14:paraId="0F99B3D0">
                  <w:pPr>
                    <w:adjustRightInd w:val="0"/>
                    <w:snapToGrid w:val="0"/>
                    <w:jc w:val="center"/>
                    <w:rPr>
                      <w:rFonts w:hint="default" w:eastAsia="宋体"/>
                      <w:color w:val="auto"/>
                      <w:szCs w:val="21"/>
                      <w:lang w:val="en-US" w:eastAsia="zh-CN"/>
                    </w:rPr>
                  </w:pPr>
                  <w:r>
                    <w:rPr>
                      <w:rFonts w:hint="eastAsia"/>
                      <w:color w:val="auto"/>
                      <w:szCs w:val="21"/>
                      <w:lang w:val="en-US" w:eastAsia="zh-CN"/>
                    </w:rPr>
                    <w:t>300</w:t>
                  </w:r>
                </w:p>
              </w:tc>
            </w:tr>
            <w:tr w14:paraId="50C3310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39" w:type="pct"/>
                  <w:vMerge w:val="continue"/>
                  <w:noWrap w:val="0"/>
                  <w:vAlign w:val="center"/>
                </w:tcPr>
                <w:p w14:paraId="6744237F">
                  <w:pPr>
                    <w:adjustRightInd w:val="0"/>
                    <w:snapToGrid w:val="0"/>
                    <w:jc w:val="center"/>
                    <w:rPr>
                      <w:rFonts w:hint="eastAsia"/>
                      <w:color w:val="auto"/>
                      <w:szCs w:val="21"/>
                      <w:lang w:val="en-US" w:eastAsia="zh-CN"/>
                    </w:rPr>
                  </w:pPr>
                </w:p>
              </w:tc>
              <w:tc>
                <w:tcPr>
                  <w:tcW w:w="891" w:type="pct"/>
                  <w:vMerge w:val="continue"/>
                  <w:noWrap w:val="0"/>
                  <w:vAlign w:val="center"/>
                </w:tcPr>
                <w:p w14:paraId="44BF6311">
                  <w:pPr>
                    <w:adjustRightInd w:val="0"/>
                    <w:snapToGrid w:val="0"/>
                    <w:jc w:val="center"/>
                    <w:rPr>
                      <w:rFonts w:hint="eastAsia"/>
                      <w:color w:val="auto"/>
                      <w:szCs w:val="21"/>
                      <w:lang w:val="en-US" w:eastAsia="zh-CN"/>
                    </w:rPr>
                  </w:pPr>
                </w:p>
              </w:tc>
              <w:tc>
                <w:tcPr>
                  <w:tcW w:w="894" w:type="pct"/>
                  <w:noWrap w:val="0"/>
                  <w:vAlign w:val="center"/>
                </w:tcPr>
                <w:p w14:paraId="56BEE6A9">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eastAsia"/>
                      <w:color w:val="auto"/>
                      <w:szCs w:val="21"/>
                      <w:lang w:val="en-US" w:eastAsia="zh-CN"/>
                    </w:rPr>
                  </w:pPr>
                  <w:r>
                    <w:rPr>
                      <w:rFonts w:hint="eastAsia"/>
                      <w:color w:val="auto"/>
                      <w:lang w:val="en-US" w:eastAsia="zh-CN"/>
                    </w:rPr>
                    <w:t>7号电池</w:t>
                  </w:r>
                </w:p>
              </w:tc>
              <w:tc>
                <w:tcPr>
                  <w:tcW w:w="1973" w:type="pct"/>
                  <w:noWrap w:val="0"/>
                  <w:vAlign w:val="center"/>
                </w:tcPr>
                <w:p w14:paraId="6D99DD29">
                  <w:pPr>
                    <w:adjustRightInd w:val="0"/>
                    <w:snapToGrid w:val="0"/>
                    <w:jc w:val="center"/>
                    <w:rPr>
                      <w:rFonts w:hint="default"/>
                      <w:color w:val="auto"/>
                      <w:szCs w:val="21"/>
                      <w:lang w:val="en-US" w:eastAsia="zh-CN"/>
                    </w:rPr>
                  </w:pPr>
                  <w:r>
                    <w:rPr>
                      <w:rFonts w:hint="eastAsia"/>
                      <w:color w:val="auto"/>
                      <w:szCs w:val="21"/>
                      <w:lang w:val="en-US" w:eastAsia="zh-CN"/>
                    </w:rPr>
                    <w:t>700</w:t>
                  </w:r>
                </w:p>
              </w:tc>
            </w:tr>
          </w:tbl>
          <w:p w14:paraId="09B2A221">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b/>
                <w:bCs/>
                <w:color w:val="auto"/>
                <w:sz w:val="24"/>
              </w:rPr>
            </w:pPr>
            <w:r>
              <w:rPr>
                <w:rFonts w:hint="eastAsia"/>
                <w:b/>
                <w:bCs/>
                <w:color w:val="auto"/>
                <w:sz w:val="24"/>
              </w:rPr>
              <w:t>4、项目主要生产设备</w:t>
            </w:r>
          </w:p>
          <w:p w14:paraId="10A4F9A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color w:val="auto"/>
                <w:sz w:val="24"/>
              </w:rPr>
            </w:pPr>
            <w:r>
              <w:rPr>
                <w:rFonts w:hint="eastAsia"/>
                <w:color w:val="auto"/>
                <w:sz w:val="24"/>
                <w:lang w:val="en-US" w:eastAsia="zh-CN"/>
              </w:rPr>
              <w:t>本</w:t>
            </w:r>
            <w:r>
              <w:rPr>
                <w:rFonts w:hint="eastAsia"/>
                <w:color w:val="auto"/>
                <w:sz w:val="24"/>
              </w:rPr>
              <w:t>项目主要生产设备见下表。</w:t>
            </w:r>
          </w:p>
          <w:p w14:paraId="0713B000">
            <w:pPr>
              <w:pStyle w:val="21"/>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firstLine="0" w:firstLineChars="0"/>
              <w:jc w:val="center"/>
              <w:textAlignment w:val="auto"/>
              <w:rPr>
                <w:rFonts w:hint="eastAsia" w:ascii="Times New Roman" w:hAnsi="Times New Roman" w:eastAsia="黑体" w:cs="Times New Roman"/>
                <w:bCs/>
                <w:color w:val="auto"/>
                <w:kern w:val="2"/>
                <w:sz w:val="24"/>
                <w:szCs w:val="24"/>
                <w:lang w:val="en-US" w:eastAsia="zh-CN" w:bidi="ar-SA"/>
              </w:rPr>
            </w:pPr>
            <w:r>
              <w:rPr>
                <w:rFonts w:hint="eastAsia" w:ascii="Times New Roman" w:hAnsi="Times New Roman" w:eastAsia="黑体" w:cs="Times New Roman"/>
                <w:bCs/>
                <w:color w:val="auto"/>
                <w:kern w:val="2"/>
                <w:sz w:val="24"/>
                <w:szCs w:val="24"/>
                <w:lang w:val="en-US" w:eastAsia="zh-CN" w:bidi="ar-SA"/>
              </w:rPr>
              <w:t>表9     本项目主要生产设备一览表</w:t>
            </w:r>
          </w:p>
          <w:tbl>
            <w:tblPr>
              <w:tblStyle w:val="17"/>
              <w:tblW w:w="4992"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1811"/>
              <w:gridCol w:w="2120"/>
              <w:gridCol w:w="1199"/>
              <w:gridCol w:w="1813"/>
            </w:tblGrid>
            <w:tr w14:paraId="654EBA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tcBorders>
                    <w:top w:val="single" w:color="auto" w:sz="8" w:space="0"/>
                    <w:bottom w:val="single" w:color="auto" w:sz="8" w:space="0"/>
                  </w:tcBorders>
                  <w:noWrap w:val="0"/>
                  <w:vAlign w:val="center"/>
                </w:tcPr>
                <w:p w14:paraId="6CD4EF59">
                  <w:pPr>
                    <w:jc w:val="center"/>
                    <w:rPr>
                      <w:b/>
                      <w:bCs/>
                      <w:color w:val="auto"/>
                      <w:sz w:val="21"/>
                      <w:szCs w:val="21"/>
                    </w:rPr>
                  </w:pPr>
                  <w:r>
                    <w:rPr>
                      <w:b/>
                      <w:bCs/>
                      <w:color w:val="auto"/>
                      <w:sz w:val="21"/>
                      <w:szCs w:val="21"/>
                    </w:rPr>
                    <w:t>序号</w:t>
                  </w:r>
                </w:p>
              </w:tc>
              <w:tc>
                <w:tcPr>
                  <w:tcW w:w="1157" w:type="pct"/>
                  <w:tcBorders>
                    <w:top w:val="single" w:color="auto" w:sz="8" w:space="0"/>
                    <w:bottom w:val="single" w:color="auto" w:sz="8" w:space="0"/>
                  </w:tcBorders>
                  <w:noWrap w:val="0"/>
                  <w:vAlign w:val="center"/>
                </w:tcPr>
                <w:p w14:paraId="7DFB8EC9">
                  <w:pPr>
                    <w:jc w:val="center"/>
                    <w:rPr>
                      <w:b/>
                      <w:bCs/>
                      <w:color w:val="auto"/>
                      <w:sz w:val="21"/>
                      <w:szCs w:val="21"/>
                    </w:rPr>
                  </w:pPr>
                  <w:r>
                    <w:rPr>
                      <w:b/>
                      <w:bCs/>
                      <w:color w:val="auto"/>
                      <w:sz w:val="21"/>
                      <w:szCs w:val="21"/>
                    </w:rPr>
                    <w:t>设备名称</w:t>
                  </w:r>
                </w:p>
              </w:tc>
              <w:tc>
                <w:tcPr>
                  <w:tcW w:w="1354" w:type="pct"/>
                  <w:tcBorders>
                    <w:top w:val="single" w:color="auto" w:sz="8" w:space="0"/>
                    <w:bottom w:val="single" w:color="auto" w:sz="8" w:space="0"/>
                  </w:tcBorders>
                  <w:noWrap w:val="0"/>
                  <w:vAlign w:val="center"/>
                </w:tcPr>
                <w:p w14:paraId="5D8AF851">
                  <w:pPr>
                    <w:jc w:val="center"/>
                    <w:rPr>
                      <w:b/>
                      <w:bCs/>
                      <w:color w:val="auto"/>
                      <w:sz w:val="21"/>
                      <w:szCs w:val="21"/>
                    </w:rPr>
                  </w:pPr>
                  <w:r>
                    <w:rPr>
                      <w:rFonts w:hint="eastAsia"/>
                      <w:b/>
                      <w:bCs/>
                      <w:color w:val="auto"/>
                      <w:sz w:val="21"/>
                      <w:szCs w:val="21"/>
                    </w:rPr>
                    <w:t>型号/规格</w:t>
                  </w:r>
                </w:p>
              </w:tc>
              <w:tc>
                <w:tcPr>
                  <w:tcW w:w="766" w:type="pct"/>
                  <w:tcBorders>
                    <w:top w:val="single" w:color="auto" w:sz="8" w:space="0"/>
                    <w:bottom w:val="single" w:color="auto" w:sz="8" w:space="0"/>
                  </w:tcBorders>
                  <w:noWrap w:val="0"/>
                  <w:vAlign w:val="center"/>
                </w:tcPr>
                <w:p w14:paraId="69C3C9C4">
                  <w:pPr>
                    <w:jc w:val="center"/>
                    <w:rPr>
                      <w:b/>
                      <w:bCs/>
                      <w:color w:val="auto"/>
                      <w:sz w:val="21"/>
                      <w:szCs w:val="21"/>
                    </w:rPr>
                  </w:pPr>
                  <w:r>
                    <w:rPr>
                      <w:rFonts w:hint="eastAsia"/>
                      <w:b/>
                      <w:bCs/>
                      <w:color w:val="auto"/>
                      <w:sz w:val="21"/>
                      <w:szCs w:val="21"/>
                    </w:rPr>
                    <w:t>数量</w:t>
                  </w:r>
                </w:p>
              </w:tc>
              <w:tc>
                <w:tcPr>
                  <w:tcW w:w="1158" w:type="pct"/>
                  <w:tcBorders>
                    <w:top w:val="single" w:color="auto" w:sz="8" w:space="0"/>
                    <w:bottom w:val="single" w:color="auto" w:sz="8" w:space="0"/>
                  </w:tcBorders>
                  <w:noWrap w:val="0"/>
                  <w:vAlign w:val="center"/>
                </w:tcPr>
                <w:p w14:paraId="2E297940">
                  <w:pPr>
                    <w:jc w:val="center"/>
                    <w:rPr>
                      <w:b/>
                      <w:bCs/>
                      <w:color w:val="auto"/>
                      <w:sz w:val="21"/>
                      <w:szCs w:val="21"/>
                    </w:rPr>
                  </w:pPr>
                  <w:r>
                    <w:rPr>
                      <w:rFonts w:hint="eastAsia"/>
                      <w:b/>
                      <w:bCs/>
                      <w:color w:val="auto"/>
                      <w:sz w:val="21"/>
                      <w:szCs w:val="21"/>
                    </w:rPr>
                    <w:t>备注</w:t>
                  </w:r>
                </w:p>
              </w:tc>
            </w:tr>
            <w:tr w14:paraId="292567D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center"/>
                </w:tcPr>
                <w:p w14:paraId="2289DF49">
                  <w:pPr>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157" w:type="pct"/>
                  <w:noWrap w:val="0"/>
                  <w:vAlign w:val="center"/>
                </w:tcPr>
                <w:p w14:paraId="04D57620">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eastAsia="zh-CN"/>
                    </w:rPr>
                    <w:t>自动</w:t>
                  </w:r>
                  <w:r>
                    <w:rPr>
                      <w:rFonts w:hint="eastAsia" w:ascii="Times New Roman" w:hAnsi="Times New Roman" w:cs="Times New Roman"/>
                      <w:color w:val="auto"/>
                      <w:szCs w:val="24"/>
                    </w:rPr>
                    <w:t>点焊机</w:t>
                  </w:r>
                </w:p>
              </w:tc>
              <w:tc>
                <w:tcPr>
                  <w:tcW w:w="1354" w:type="pct"/>
                  <w:noWrap w:val="0"/>
                  <w:vAlign w:val="center"/>
                </w:tcPr>
                <w:p w14:paraId="256F4917">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1h/次</w:t>
                  </w:r>
                </w:p>
              </w:tc>
              <w:tc>
                <w:tcPr>
                  <w:tcW w:w="766" w:type="pct"/>
                  <w:noWrap w:val="0"/>
                  <w:vAlign w:val="center"/>
                </w:tcPr>
                <w:p w14:paraId="6AB34503">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3台</w:t>
                  </w:r>
                </w:p>
              </w:tc>
              <w:tc>
                <w:tcPr>
                  <w:tcW w:w="1158" w:type="pct"/>
                  <w:noWrap w:val="0"/>
                  <w:vAlign w:val="center"/>
                </w:tcPr>
                <w:p w14:paraId="7CB0C571">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eastAsia="zh-CN"/>
                    </w:rPr>
                    <w:t>点焊极耳</w:t>
                  </w:r>
                </w:p>
              </w:tc>
            </w:tr>
            <w:tr w14:paraId="1ACACB0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center"/>
                </w:tcPr>
                <w:p w14:paraId="1505ECB2">
                  <w:pPr>
                    <w:jc w:val="center"/>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2</w:t>
                  </w:r>
                </w:p>
              </w:tc>
              <w:tc>
                <w:tcPr>
                  <w:tcW w:w="1157" w:type="pct"/>
                  <w:noWrap w:val="0"/>
                  <w:vAlign w:val="center"/>
                </w:tcPr>
                <w:p w14:paraId="709C73B9">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自动装配线</w:t>
                  </w:r>
                </w:p>
              </w:tc>
              <w:tc>
                <w:tcPr>
                  <w:tcW w:w="1354" w:type="pct"/>
                  <w:noWrap w:val="0"/>
                  <w:vAlign w:val="center"/>
                </w:tcPr>
                <w:p w14:paraId="7FC9870C">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5m×3m，15分/次</w:t>
                  </w:r>
                </w:p>
              </w:tc>
              <w:tc>
                <w:tcPr>
                  <w:tcW w:w="766" w:type="pct"/>
                  <w:noWrap w:val="0"/>
                  <w:vAlign w:val="center"/>
                </w:tcPr>
                <w:p w14:paraId="78B3C2A5">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8条</w:t>
                  </w:r>
                </w:p>
              </w:tc>
              <w:tc>
                <w:tcPr>
                  <w:tcW w:w="1158" w:type="pct"/>
                  <w:noWrap w:val="0"/>
                  <w:vAlign w:val="center"/>
                </w:tcPr>
                <w:p w14:paraId="2C8EBE30">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焊帽封口</w:t>
                  </w:r>
                </w:p>
              </w:tc>
            </w:tr>
            <w:tr w14:paraId="00049A7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center"/>
                </w:tcPr>
                <w:p w14:paraId="7995DD7E">
                  <w:pPr>
                    <w:jc w:val="center"/>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1157" w:type="pct"/>
                  <w:noWrap w:val="0"/>
                  <w:vAlign w:val="center"/>
                </w:tcPr>
                <w:p w14:paraId="2457A7C7">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eastAsia="zh-CN"/>
                    </w:rPr>
                    <w:t>卷绕机</w:t>
                  </w:r>
                </w:p>
              </w:tc>
              <w:tc>
                <w:tcPr>
                  <w:tcW w:w="1354" w:type="pct"/>
                  <w:noWrap w:val="0"/>
                  <w:vAlign w:val="center"/>
                </w:tcPr>
                <w:p w14:paraId="2C4704FD">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1h/次</w:t>
                  </w:r>
                </w:p>
              </w:tc>
              <w:tc>
                <w:tcPr>
                  <w:tcW w:w="766" w:type="pct"/>
                  <w:noWrap w:val="0"/>
                  <w:vAlign w:val="center"/>
                </w:tcPr>
                <w:p w14:paraId="3D3CEE8D">
                  <w:pPr>
                    <w:widowControl/>
                    <w:jc w:val="center"/>
                    <w:textAlignment w:val="center"/>
                    <w:rPr>
                      <w:rFonts w:hint="default" w:ascii="Times New Roman" w:hAnsi="Times New Roman" w:cs="Times New Roman"/>
                      <w:color w:val="auto"/>
                      <w:szCs w:val="24"/>
                      <w:lang w:val="en-US" w:eastAsia="zh-CN"/>
                    </w:rPr>
                  </w:pPr>
                  <w:r>
                    <w:rPr>
                      <w:rFonts w:hint="eastAsia" w:cs="Times New Roman"/>
                      <w:color w:val="auto"/>
                      <w:szCs w:val="24"/>
                      <w:lang w:val="en-US" w:eastAsia="zh-CN"/>
                    </w:rPr>
                    <w:t>6</w:t>
                  </w:r>
                  <w:r>
                    <w:rPr>
                      <w:rFonts w:hint="eastAsia" w:ascii="Times New Roman" w:hAnsi="Times New Roman" w:cs="Times New Roman"/>
                      <w:color w:val="auto"/>
                      <w:szCs w:val="24"/>
                      <w:lang w:val="en-US" w:eastAsia="zh-CN"/>
                    </w:rPr>
                    <w:t>台</w:t>
                  </w:r>
                </w:p>
              </w:tc>
              <w:tc>
                <w:tcPr>
                  <w:tcW w:w="1158" w:type="pct"/>
                  <w:noWrap w:val="0"/>
                  <w:vAlign w:val="center"/>
                </w:tcPr>
                <w:p w14:paraId="287A2485">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eastAsia="zh-CN"/>
                    </w:rPr>
                    <w:t>正负极隔膜</w:t>
                  </w:r>
                  <w:r>
                    <w:rPr>
                      <w:rFonts w:hint="eastAsia" w:ascii="Times New Roman" w:hAnsi="Times New Roman" w:cs="Times New Roman"/>
                      <w:color w:val="auto"/>
                      <w:szCs w:val="24"/>
                      <w:lang w:val="en-US" w:eastAsia="zh-CN"/>
                    </w:rPr>
                    <w:t>卷绕</w:t>
                  </w:r>
                </w:p>
              </w:tc>
            </w:tr>
            <w:tr w14:paraId="2C35834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center"/>
                </w:tcPr>
                <w:p w14:paraId="7AB55E4F">
                  <w:pPr>
                    <w:jc w:val="center"/>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1157" w:type="pct"/>
                  <w:noWrap w:val="0"/>
                  <w:vAlign w:val="center"/>
                </w:tcPr>
                <w:p w14:paraId="2DC69A76">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rPr>
                    <w:t>电池化成架</w:t>
                  </w:r>
                </w:p>
              </w:tc>
              <w:tc>
                <w:tcPr>
                  <w:tcW w:w="1354" w:type="pct"/>
                  <w:noWrap w:val="0"/>
                  <w:vAlign w:val="center"/>
                </w:tcPr>
                <w:p w14:paraId="62286D3F">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20分/次</w:t>
                  </w:r>
                </w:p>
              </w:tc>
              <w:tc>
                <w:tcPr>
                  <w:tcW w:w="766" w:type="pct"/>
                  <w:noWrap w:val="0"/>
                  <w:vAlign w:val="center"/>
                </w:tcPr>
                <w:p w14:paraId="407DBCE6">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1台</w:t>
                  </w:r>
                </w:p>
              </w:tc>
              <w:tc>
                <w:tcPr>
                  <w:tcW w:w="1158" w:type="pct"/>
                  <w:noWrap w:val="0"/>
                  <w:vAlign w:val="center"/>
                </w:tcPr>
                <w:p w14:paraId="0F1D62F8">
                  <w:pPr>
                    <w:widowControl/>
                    <w:jc w:val="center"/>
                    <w:textAlignment w:val="center"/>
                    <w:rPr>
                      <w:rFonts w:hint="default" w:ascii="Times New Roman" w:hAnsi="Times New Roman" w:eastAsia="宋体" w:cs="Times New Roman"/>
                      <w:color w:val="auto"/>
                      <w:szCs w:val="24"/>
                      <w:lang w:val="en-US" w:eastAsia="zh-CN"/>
                    </w:rPr>
                  </w:pPr>
                  <w:r>
                    <w:rPr>
                      <w:rFonts w:hint="eastAsia" w:cs="Times New Roman"/>
                      <w:color w:val="auto"/>
                      <w:szCs w:val="24"/>
                      <w:lang w:val="en-US" w:eastAsia="zh-CN"/>
                    </w:rPr>
                    <w:t>化成充放电激活</w:t>
                  </w:r>
                </w:p>
              </w:tc>
            </w:tr>
            <w:tr w14:paraId="386AF86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center"/>
                </w:tcPr>
                <w:p w14:paraId="347B5424">
                  <w:pPr>
                    <w:jc w:val="center"/>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157" w:type="pct"/>
                  <w:noWrap w:val="0"/>
                  <w:vAlign w:val="center"/>
                </w:tcPr>
                <w:p w14:paraId="1E766F7A">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rPr>
                    <w:t>高温恒温房</w:t>
                  </w:r>
                </w:p>
              </w:tc>
              <w:tc>
                <w:tcPr>
                  <w:tcW w:w="1354" w:type="pct"/>
                  <w:noWrap w:val="0"/>
                  <w:vAlign w:val="center"/>
                </w:tcPr>
                <w:p w14:paraId="24B3029F">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17m</w:t>
                  </w:r>
                  <w:r>
                    <w:rPr>
                      <w:rFonts w:hint="eastAsia" w:ascii="Times New Roman" w:hAnsi="Times New Roman" w:cs="Times New Roman"/>
                      <w:color w:val="auto"/>
                      <w:szCs w:val="24"/>
                      <w:vertAlign w:val="superscript"/>
                      <w:lang w:val="en-US" w:eastAsia="zh-CN"/>
                    </w:rPr>
                    <w:t>3</w:t>
                  </w:r>
                  <w:r>
                    <w:rPr>
                      <w:rFonts w:hint="eastAsia" w:ascii="Times New Roman" w:hAnsi="Times New Roman" w:cs="Times New Roman"/>
                      <w:color w:val="auto"/>
                      <w:szCs w:val="24"/>
                      <w:lang w:val="en-US" w:eastAsia="zh-CN"/>
                    </w:rPr>
                    <w:t>，</w:t>
                  </w:r>
                  <w:r>
                    <w:rPr>
                      <w:rFonts w:hint="eastAsia" w:ascii="Times New Roman" w:hAnsi="Times New Roman" w:cs="Times New Roman"/>
                      <w:color w:val="auto"/>
                      <w:szCs w:val="24"/>
                      <w:lang w:eastAsia="zh-CN"/>
                    </w:rPr>
                    <w:t>温度</w:t>
                  </w:r>
                  <w:r>
                    <w:rPr>
                      <w:rFonts w:hint="eastAsia" w:ascii="Times New Roman" w:hAnsi="Times New Roman" w:cs="Times New Roman"/>
                      <w:color w:val="auto"/>
                      <w:szCs w:val="24"/>
                      <w:lang w:val="en-US" w:eastAsia="zh-CN"/>
                    </w:rPr>
                    <w:t>45-50℃</w:t>
                  </w:r>
                </w:p>
              </w:tc>
              <w:tc>
                <w:tcPr>
                  <w:tcW w:w="766" w:type="pct"/>
                  <w:noWrap w:val="0"/>
                  <w:vAlign w:val="center"/>
                </w:tcPr>
                <w:p w14:paraId="68FB4442">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2个</w:t>
                  </w:r>
                </w:p>
              </w:tc>
              <w:tc>
                <w:tcPr>
                  <w:tcW w:w="1158" w:type="pct"/>
                  <w:noWrap w:val="0"/>
                  <w:vAlign w:val="center"/>
                </w:tcPr>
                <w:p w14:paraId="5B2C1D7E">
                  <w:pPr>
                    <w:widowControl/>
                    <w:jc w:val="center"/>
                    <w:textAlignment w:val="center"/>
                    <w:rPr>
                      <w:rFonts w:hint="default" w:ascii="Times New Roman" w:hAnsi="Times New Roman" w:eastAsia="宋体" w:cs="Times New Roman"/>
                      <w:color w:val="auto"/>
                      <w:szCs w:val="24"/>
                      <w:lang w:val="en-US" w:eastAsia="zh-CN"/>
                    </w:rPr>
                  </w:pPr>
                  <w:r>
                    <w:rPr>
                      <w:rFonts w:hint="eastAsia" w:cs="Times New Roman"/>
                      <w:color w:val="auto"/>
                      <w:szCs w:val="24"/>
                      <w:lang w:val="en-US" w:eastAsia="zh-CN"/>
                    </w:rPr>
                    <w:t>老化与性能测试</w:t>
                  </w:r>
                </w:p>
              </w:tc>
            </w:tr>
            <w:tr w14:paraId="39499D4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center"/>
                </w:tcPr>
                <w:p w14:paraId="5E69CB9F">
                  <w:pPr>
                    <w:jc w:val="center"/>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1157" w:type="pct"/>
                  <w:shd w:val="clear" w:color="auto" w:fill="auto"/>
                  <w:noWrap w:val="0"/>
                  <w:vAlign w:val="center"/>
                </w:tcPr>
                <w:p w14:paraId="7013A2CC">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包装机</w:t>
                  </w:r>
                </w:p>
              </w:tc>
              <w:tc>
                <w:tcPr>
                  <w:tcW w:w="1354" w:type="pct"/>
                  <w:shd w:val="clear" w:color="auto" w:fill="auto"/>
                  <w:noWrap w:val="0"/>
                  <w:vAlign w:val="center"/>
                </w:tcPr>
                <w:p w14:paraId="0C76AA1F">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w:t>
                  </w:r>
                </w:p>
              </w:tc>
              <w:tc>
                <w:tcPr>
                  <w:tcW w:w="766" w:type="pct"/>
                  <w:shd w:val="clear" w:color="auto" w:fill="auto"/>
                  <w:noWrap w:val="0"/>
                  <w:vAlign w:val="center"/>
                </w:tcPr>
                <w:p w14:paraId="701DAFD9">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2台</w:t>
                  </w:r>
                </w:p>
              </w:tc>
              <w:tc>
                <w:tcPr>
                  <w:tcW w:w="1158" w:type="pct"/>
                  <w:shd w:val="clear" w:color="auto" w:fill="auto"/>
                  <w:noWrap w:val="0"/>
                  <w:vAlign w:val="center"/>
                </w:tcPr>
                <w:p w14:paraId="6B291CA1">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成品包装</w:t>
                  </w:r>
                </w:p>
              </w:tc>
            </w:tr>
            <w:tr w14:paraId="059FFAB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2" w:type="pct"/>
                  <w:noWrap w:val="0"/>
                  <w:vAlign w:val="center"/>
                </w:tcPr>
                <w:p w14:paraId="5A55FFA1">
                  <w:pPr>
                    <w:jc w:val="center"/>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1157" w:type="pct"/>
                  <w:shd w:val="clear" w:color="auto" w:fill="auto"/>
                  <w:noWrap w:val="0"/>
                  <w:vAlign w:val="center"/>
                </w:tcPr>
                <w:p w14:paraId="26C018FD">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空压机</w:t>
                  </w:r>
                </w:p>
              </w:tc>
              <w:tc>
                <w:tcPr>
                  <w:tcW w:w="1354" w:type="pct"/>
                  <w:shd w:val="clear" w:color="auto" w:fill="auto"/>
                  <w:noWrap w:val="0"/>
                  <w:vAlign w:val="center"/>
                </w:tcPr>
                <w:p w14:paraId="0FF6D2E6">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22kw</w:t>
                  </w:r>
                </w:p>
              </w:tc>
              <w:tc>
                <w:tcPr>
                  <w:tcW w:w="766" w:type="pct"/>
                  <w:shd w:val="clear" w:color="auto" w:fill="auto"/>
                  <w:noWrap w:val="0"/>
                  <w:vAlign w:val="center"/>
                </w:tcPr>
                <w:p w14:paraId="65F9DC48">
                  <w:pPr>
                    <w:widowControl/>
                    <w:jc w:val="center"/>
                    <w:textAlignment w:val="center"/>
                    <w:rPr>
                      <w:rFonts w:hint="eastAsia"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1台</w:t>
                  </w:r>
                </w:p>
              </w:tc>
              <w:tc>
                <w:tcPr>
                  <w:tcW w:w="1158" w:type="pct"/>
                  <w:shd w:val="clear" w:color="auto" w:fill="auto"/>
                  <w:noWrap w:val="0"/>
                  <w:vAlign w:val="center"/>
                </w:tcPr>
                <w:p w14:paraId="3B3B9C01">
                  <w:pPr>
                    <w:widowControl/>
                    <w:jc w:val="center"/>
                    <w:textAlignment w:val="center"/>
                    <w:rPr>
                      <w:rFonts w:hint="default" w:ascii="Times New Roman" w:hAnsi="Times New Roman" w:cs="Times New Roman"/>
                      <w:color w:val="auto"/>
                      <w:szCs w:val="24"/>
                      <w:lang w:val="en-US" w:eastAsia="zh-CN"/>
                    </w:rPr>
                  </w:pPr>
                  <w:r>
                    <w:rPr>
                      <w:rFonts w:hint="eastAsia" w:ascii="Times New Roman" w:hAnsi="Times New Roman" w:cs="Times New Roman"/>
                      <w:color w:val="auto"/>
                      <w:szCs w:val="24"/>
                      <w:lang w:val="en-US" w:eastAsia="zh-CN"/>
                    </w:rPr>
                    <w:t>/</w:t>
                  </w:r>
                </w:p>
              </w:tc>
            </w:tr>
          </w:tbl>
          <w:p w14:paraId="681B6388">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auto"/>
              <w:rPr>
                <w:rFonts w:hint="eastAsia"/>
                <w:b/>
                <w:bCs/>
                <w:color w:val="auto"/>
                <w:sz w:val="24"/>
              </w:rPr>
            </w:pPr>
            <w:r>
              <w:rPr>
                <w:rFonts w:hint="eastAsia"/>
                <w:b/>
                <w:bCs/>
                <w:color w:val="auto"/>
                <w:sz w:val="24"/>
              </w:rPr>
              <w:t>5、厂区平面布置简述</w:t>
            </w:r>
          </w:p>
          <w:p w14:paraId="2DF2C307">
            <w:pPr>
              <w:keepNext w:val="0"/>
              <w:keepLines w:val="0"/>
              <w:pageBreakBefore w:val="0"/>
              <w:widowControl w:val="0"/>
              <w:kinsoku/>
              <w:wordWrap/>
              <w:overflowPunct/>
              <w:topLinePunct w:val="0"/>
              <w:autoSpaceDE/>
              <w:autoSpaceDN/>
              <w:bidi w:val="0"/>
              <w:spacing w:before="157" w:beforeLines="50"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本项目位于</w:t>
            </w:r>
            <w:r>
              <w:rPr>
                <w:rFonts w:hint="eastAsia" w:cs="Times New Roman"/>
                <w:color w:val="auto"/>
                <w:sz w:val="24"/>
                <w:lang w:val="en-US" w:eastAsia="zh-CN"/>
              </w:rPr>
              <w:t>河南省新乡市延津县石婆固乡西秦庄村012号</w:t>
            </w:r>
            <w:r>
              <w:rPr>
                <w:rFonts w:hint="eastAsia" w:ascii="Times New Roman" w:hAnsi="Times New Roman" w:eastAsia="宋体" w:cs="Times New Roman"/>
                <w:color w:val="auto"/>
                <w:sz w:val="24"/>
              </w:rPr>
              <w:t>，根据企业提供的本项目车间总平面布置图，厂区的平面布置较为合理，主要体现在以下几个方面：</w:t>
            </w:r>
          </w:p>
          <w:p w14:paraId="29F737CD">
            <w:pPr>
              <w:keepNext w:val="0"/>
              <w:keepLines w:val="0"/>
              <w:pageBreakBefore w:val="0"/>
              <w:widowControl w:val="0"/>
              <w:kinsoku/>
              <w:wordWrap/>
              <w:overflowPunct/>
              <w:topLinePunct w:val="0"/>
              <w:autoSpaceDE/>
              <w:autoSpaceDN/>
              <w:bidi w:val="0"/>
              <w:spacing w:before="157" w:beforeLines="50" w:line="360" w:lineRule="auto"/>
              <w:ind w:firstLine="480" w:firstLineChars="200"/>
              <w:textAlignment w:val="auto"/>
              <w:rPr>
                <w:color w:val="auto"/>
                <w:sz w:val="24"/>
              </w:rPr>
            </w:pPr>
            <w:r>
              <w:rPr>
                <w:rFonts w:hint="eastAsia" w:ascii="Times New Roman" w:hAnsi="Times New Roman" w:eastAsia="宋体" w:cs="Times New Roman"/>
                <w:color w:val="auto"/>
                <w:sz w:val="24"/>
              </w:rPr>
              <w:t>（1）项目设计生产</w:t>
            </w:r>
            <w:r>
              <w:rPr>
                <w:rFonts w:hint="eastAsia"/>
                <w:color w:val="auto"/>
                <w:sz w:val="24"/>
              </w:rPr>
              <w:t>区和办公区完全分开，办公区设置在车间</w:t>
            </w:r>
            <w:r>
              <w:rPr>
                <w:rFonts w:hint="eastAsia"/>
                <w:color w:val="auto"/>
                <w:sz w:val="24"/>
                <w:lang w:val="en-US" w:eastAsia="zh-CN"/>
              </w:rPr>
              <w:t>外东侧</w:t>
            </w:r>
            <w:r>
              <w:rPr>
                <w:rFonts w:hint="eastAsia"/>
                <w:color w:val="auto"/>
                <w:sz w:val="24"/>
              </w:rPr>
              <w:t>，</w:t>
            </w:r>
            <w:r>
              <w:rPr>
                <w:color w:val="auto"/>
                <w:sz w:val="24"/>
              </w:rPr>
              <w:t>有利于物流和人流的管理；</w:t>
            </w:r>
          </w:p>
          <w:p w14:paraId="0E6174A4">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eastAsia"/>
                <w:color w:val="auto"/>
                <w:sz w:val="24"/>
                <w:lang w:val="en-US" w:eastAsia="zh-CN"/>
              </w:rPr>
            </w:pPr>
            <w:r>
              <w:rPr>
                <w:rFonts w:hint="eastAsia"/>
                <w:color w:val="auto"/>
                <w:sz w:val="24"/>
              </w:rPr>
              <w:t>（2）生产区按产品将生产线、仓库进行区域划分，各区域功能分工明确，物料及产品转运顺畅，厂区平面布置较为合理。</w:t>
            </w:r>
            <w:r>
              <w:rPr>
                <w:rFonts w:hint="eastAsia"/>
                <w:color w:val="auto"/>
                <w:sz w:val="24"/>
                <w:lang w:val="en-US" w:eastAsia="zh-CN"/>
              </w:rPr>
              <w:t>具体布置见附件：</w:t>
            </w:r>
          </w:p>
          <w:p w14:paraId="4CB4BA41">
            <w:pPr>
              <w:spacing w:line="440" w:lineRule="exact"/>
              <w:ind w:firstLine="482" w:firstLineChars="200"/>
              <w:rPr>
                <w:b/>
                <w:bCs/>
                <w:color w:val="auto"/>
                <w:sz w:val="24"/>
              </w:rPr>
            </w:pPr>
            <w:r>
              <w:rPr>
                <w:rFonts w:hint="eastAsia"/>
                <w:b/>
                <w:bCs/>
                <w:color w:val="auto"/>
                <w:sz w:val="24"/>
              </w:rPr>
              <w:t>6</w:t>
            </w:r>
            <w:r>
              <w:rPr>
                <w:b/>
                <w:bCs/>
                <w:color w:val="auto"/>
                <w:sz w:val="24"/>
              </w:rPr>
              <w:t>、</w:t>
            </w:r>
            <w:r>
              <w:rPr>
                <w:rFonts w:hint="eastAsia"/>
                <w:b/>
                <w:bCs/>
                <w:color w:val="auto"/>
                <w:sz w:val="24"/>
              </w:rPr>
              <w:t>本项目主要原辅材料消耗量</w:t>
            </w:r>
          </w:p>
          <w:p w14:paraId="5B773C09">
            <w:pPr>
              <w:spacing w:line="440" w:lineRule="exact"/>
              <w:ind w:firstLine="480" w:firstLineChars="200"/>
              <w:rPr>
                <w:rFonts w:hint="eastAsia"/>
                <w:color w:val="auto"/>
                <w:sz w:val="24"/>
              </w:rPr>
            </w:pPr>
            <w:r>
              <w:rPr>
                <w:rFonts w:hint="eastAsia"/>
                <w:color w:val="auto"/>
                <w:sz w:val="24"/>
              </w:rPr>
              <w:t>本项目原辅材料消耗量情况见下表。</w:t>
            </w:r>
          </w:p>
          <w:p w14:paraId="6944BF12">
            <w:pPr>
              <w:pStyle w:val="21"/>
              <w:spacing w:line="440" w:lineRule="exact"/>
              <w:ind w:left="0" w:leftChars="0" w:firstLine="0" w:firstLineChars="0"/>
              <w:jc w:val="center"/>
              <w:rPr>
                <w:rFonts w:hint="eastAsia" w:ascii="Times New Roman" w:hAnsi="Times New Roman" w:eastAsia="黑体" w:cs="Times New Roman"/>
                <w:bCs/>
                <w:color w:val="auto"/>
                <w:kern w:val="2"/>
                <w:sz w:val="24"/>
                <w:szCs w:val="24"/>
                <w:vertAlign w:val="baseline"/>
                <w:lang w:val="en-US" w:eastAsia="zh-CN" w:bidi="ar-SA"/>
              </w:rPr>
            </w:pPr>
            <w:r>
              <w:rPr>
                <w:rFonts w:hint="eastAsia" w:ascii="Times New Roman" w:hAnsi="Times New Roman" w:eastAsia="黑体" w:cs="Times New Roman"/>
                <w:bCs/>
                <w:color w:val="auto"/>
                <w:kern w:val="2"/>
                <w:sz w:val="24"/>
                <w:szCs w:val="24"/>
                <w:lang w:val="en-US" w:eastAsia="zh-CN" w:bidi="ar-SA"/>
              </w:rPr>
              <w:t>表10     本项目原辅料消耗量情况一览表</w:t>
            </w:r>
          </w:p>
          <w:tbl>
            <w:tblPr>
              <w:tblStyle w:val="18"/>
              <w:tblW w:w="0" w:type="auto"/>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73"/>
              <w:gridCol w:w="2080"/>
              <w:gridCol w:w="1949"/>
              <w:gridCol w:w="1929"/>
            </w:tblGrid>
            <w:tr w14:paraId="3CE42C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tcBorders>
                    <w:top w:val="single" w:color="auto" w:sz="8" w:space="0"/>
                    <w:bottom w:val="single" w:color="auto" w:sz="8" w:space="0"/>
                  </w:tcBorders>
                  <w:vAlign w:val="center"/>
                </w:tcPr>
                <w:p w14:paraId="2FF78BDC">
                  <w:pPr>
                    <w:adjustRightInd w:val="0"/>
                    <w:snapToGrid w:val="0"/>
                    <w:jc w:val="center"/>
                    <w:rPr>
                      <w:rFonts w:hint="eastAsia" w:ascii="Times New Roman" w:hAnsi="Times New Roman" w:eastAsia="黑体" w:cs="Times New Roman"/>
                      <w:bCs/>
                      <w:color w:val="auto"/>
                      <w:kern w:val="2"/>
                      <w:sz w:val="24"/>
                      <w:szCs w:val="24"/>
                      <w:vertAlign w:val="baseline"/>
                      <w:lang w:val="en-US" w:eastAsia="zh-CN" w:bidi="ar-SA"/>
                    </w:rPr>
                  </w:pPr>
                  <w:r>
                    <w:rPr>
                      <w:rFonts w:hint="eastAsia"/>
                      <w:b/>
                      <w:color w:val="auto"/>
                      <w:szCs w:val="21"/>
                    </w:rPr>
                    <w:t>序号</w:t>
                  </w:r>
                </w:p>
              </w:tc>
              <w:tc>
                <w:tcPr>
                  <w:tcW w:w="2227" w:type="dxa"/>
                  <w:tcBorders>
                    <w:top w:val="single" w:color="auto" w:sz="8" w:space="0"/>
                    <w:bottom w:val="single" w:color="auto" w:sz="8" w:space="0"/>
                  </w:tcBorders>
                  <w:vAlign w:val="center"/>
                </w:tcPr>
                <w:p w14:paraId="226648FD">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仿宋" w:cs="Times New Roman"/>
                      <w:color w:val="auto"/>
                      <w:sz w:val="21"/>
                      <w:szCs w:val="21"/>
                      <w:lang w:val="en-US" w:eastAsia="zh-CN"/>
                    </w:rPr>
                  </w:pPr>
                  <w:r>
                    <w:rPr>
                      <w:rFonts w:hint="eastAsia" w:ascii="Times New Roman" w:hAnsi="仿宋" w:cs="Times New Roman"/>
                      <w:b/>
                      <w:bCs/>
                      <w:color w:val="auto"/>
                      <w:sz w:val="21"/>
                      <w:szCs w:val="21"/>
                    </w:rPr>
                    <w:t>名称</w:t>
                  </w:r>
                </w:p>
              </w:tc>
              <w:tc>
                <w:tcPr>
                  <w:tcW w:w="2231" w:type="dxa"/>
                  <w:tcBorders>
                    <w:top w:val="single" w:color="auto" w:sz="8" w:space="0"/>
                    <w:bottom w:val="single" w:color="auto" w:sz="8" w:space="0"/>
                  </w:tcBorders>
                  <w:vAlign w:val="center"/>
                </w:tcPr>
                <w:p w14:paraId="2A098CAA">
                  <w:pPr>
                    <w:adjustRightInd w:val="0"/>
                    <w:snapToGrid w:val="0"/>
                    <w:jc w:val="center"/>
                    <w:rPr>
                      <w:rFonts w:hint="default" w:ascii="Times New Roman" w:hAnsi="Times New Roman" w:eastAsia="黑体" w:cs="Times New Roman"/>
                      <w:bCs/>
                      <w:color w:val="auto"/>
                      <w:kern w:val="2"/>
                      <w:sz w:val="24"/>
                      <w:szCs w:val="24"/>
                      <w:vertAlign w:val="baseline"/>
                      <w:lang w:val="en-US" w:eastAsia="zh-CN" w:bidi="ar-SA"/>
                    </w:rPr>
                  </w:pPr>
                  <w:r>
                    <w:rPr>
                      <w:rFonts w:hint="eastAsia"/>
                      <w:b/>
                      <w:color w:val="auto"/>
                      <w:szCs w:val="21"/>
                    </w:rPr>
                    <w:t>年用量</w:t>
                  </w:r>
                </w:p>
              </w:tc>
              <w:tc>
                <w:tcPr>
                  <w:tcW w:w="2229" w:type="dxa"/>
                  <w:tcBorders>
                    <w:top w:val="single" w:color="auto" w:sz="8" w:space="0"/>
                    <w:bottom w:val="single" w:color="auto" w:sz="8" w:space="0"/>
                  </w:tcBorders>
                  <w:vAlign w:val="center"/>
                </w:tcPr>
                <w:p w14:paraId="64CA84EB">
                  <w:pPr>
                    <w:adjustRightInd w:val="0"/>
                    <w:snapToGrid w:val="0"/>
                    <w:jc w:val="center"/>
                    <w:rPr>
                      <w:rFonts w:hint="eastAsia" w:ascii="Times New Roman" w:hAnsi="Times New Roman" w:eastAsia="黑体" w:cs="Times New Roman"/>
                      <w:bCs/>
                      <w:color w:val="auto"/>
                      <w:kern w:val="2"/>
                      <w:sz w:val="24"/>
                      <w:szCs w:val="24"/>
                      <w:vertAlign w:val="baseline"/>
                      <w:lang w:val="en-US" w:eastAsia="zh-CN" w:bidi="ar-SA"/>
                    </w:rPr>
                  </w:pPr>
                  <w:r>
                    <w:rPr>
                      <w:rFonts w:hint="eastAsia"/>
                      <w:b/>
                      <w:color w:val="auto"/>
                      <w:szCs w:val="21"/>
                    </w:rPr>
                    <w:t>备注</w:t>
                  </w:r>
                </w:p>
              </w:tc>
            </w:tr>
            <w:tr w14:paraId="12E0A3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tcBorders>
                    <w:top w:val="single" w:color="auto" w:sz="8" w:space="0"/>
                    <w:bottom w:val="single" w:color="auto" w:sz="4" w:space="0"/>
                  </w:tcBorders>
                  <w:vAlign w:val="center"/>
                </w:tcPr>
                <w:p w14:paraId="04FD8F83">
                  <w:pPr>
                    <w:widowControl/>
                    <w:jc w:val="center"/>
                    <w:textAlignment w:val="center"/>
                    <w:rPr>
                      <w:rFonts w:hint="eastAsia" w:ascii="Times New Roman" w:hAnsi="Times New Roman" w:eastAsia="黑体" w:cs="Times New Roman"/>
                      <w:bCs/>
                      <w:color w:val="auto"/>
                      <w:kern w:val="2"/>
                      <w:sz w:val="24"/>
                      <w:szCs w:val="24"/>
                      <w:vertAlign w:val="baseline"/>
                      <w:lang w:val="en-US" w:eastAsia="zh-CN" w:bidi="ar-SA"/>
                    </w:rPr>
                  </w:pPr>
                  <w:r>
                    <w:rPr>
                      <w:rFonts w:hint="default" w:ascii="Times New Roman" w:hAnsi="Times New Roman" w:eastAsia="宋体" w:cs="Times New Roman"/>
                      <w:color w:val="auto"/>
                      <w:kern w:val="2"/>
                      <w:sz w:val="21"/>
                      <w:szCs w:val="21"/>
                      <w:highlight w:val="none"/>
                      <w:lang w:val="en-US" w:eastAsia="zh-CN" w:bidi="ar-SA"/>
                    </w:rPr>
                    <w:t>1</w:t>
                  </w:r>
                </w:p>
              </w:tc>
              <w:tc>
                <w:tcPr>
                  <w:tcW w:w="2227" w:type="dxa"/>
                  <w:tcBorders>
                    <w:top w:val="single" w:color="auto" w:sz="8" w:space="0"/>
                    <w:bottom w:val="single" w:color="auto" w:sz="4" w:space="0"/>
                  </w:tcBorders>
                  <w:vAlign w:val="center"/>
                </w:tcPr>
                <w:p w14:paraId="164203C4">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ascii="Times New Roman" w:hAnsi="仿宋" w:cs="Times New Roman"/>
                      <w:color w:val="auto"/>
                      <w:sz w:val="21"/>
                      <w:szCs w:val="21"/>
                      <w:lang w:val="en-US" w:eastAsia="zh-CN"/>
                    </w:rPr>
                  </w:pPr>
                  <w:r>
                    <w:rPr>
                      <w:rFonts w:hint="eastAsia" w:hAnsi="仿宋" w:cs="Times New Roman"/>
                      <w:color w:val="auto"/>
                      <w:sz w:val="21"/>
                      <w:szCs w:val="21"/>
                      <w:lang w:val="en-US" w:eastAsia="zh-CN"/>
                    </w:rPr>
                    <w:t>正</w:t>
                  </w:r>
                  <w:r>
                    <w:rPr>
                      <w:rFonts w:hint="eastAsia" w:ascii="Times New Roman" w:hAnsi="仿宋" w:cs="Times New Roman"/>
                      <w:color w:val="auto"/>
                      <w:sz w:val="21"/>
                      <w:szCs w:val="21"/>
                      <w:lang w:val="en-US" w:eastAsia="zh-CN"/>
                    </w:rPr>
                    <w:t>极片</w:t>
                  </w:r>
                </w:p>
              </w:tc>
              <w:tc>
                <w:tcPr>
                  <w:tcW w:w="2231" w:type="dxa"/>
                  <w:tcBorders>
                    <w:top w:val="single" w:color="auto" w:sz="8" w:space="0"/>
                    <w:bottom w:val="single" w:color="auto" w:sz="4" w:space="0"/>
                  </w:tcBorders>
                  <w:vAlign w:val="center"/>
                </w:tcPr>
                <w:p w14:paraId="3F7222B5">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1000万只</w:t>
                  </w:r>
                </w:p>
              </w:tc>
              <w:tc>
                <w:tcPr>
                  <w:tcW w:w="2229" w:type="dxa"/>
                  <w:tcBorders>
                    <w:top w:val="single" w:color="auto" w:sz="8" w:space="0"/>
                    <w:bottom w:val="single" w:color="auto" w:sz="4" w:space="0"/>
                  </w:tcBorders>
                  <w:vAlign w:val="center"/>
                </w:tcPr>
                <w:p w14:paraId="08C9B773">
                  <w:pPr>
                    <w:tabs>
                      <w:tab w:val="left" w:pos="6840"/>
                    </w:tabs>
                    <w:jc w:val="center"/>
                    <w:outlineLvl w:val="0"/>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外购</w:t>
                  </w:r>
                </w:p>
              </w:tc>
            </w:tr>
            <w:tr w14:paraId="286905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tcBorders>
                    <w:top w:val="single" w:color="auto" w:sz="4" w:space="0"/>
                    <w:bottom w:val="single" w:color="auto" w:sz="4" w:space="0"/>
                  </w:tcBorders>
                  <w:shd w:val="clear" w:color="auto" w:fill="auto"/>
                  <w:vAlign w:val="center"/>
                </w:tcPr>
                <w:p w14:paraId="6A3F39C4">
                  <w:pPr>
                    <w:widowControl/>
                    <w:jc w:val="center"/>
                    <w:textAlignment w:val="center"/>
                    <w:rPr>
                      <w:rFonts w:hint="default" w:ascii="Times New Roman" w:hAnsi="Times New Roman" w:eastAsia="黑体" w:cs="Times New Roman"/>
                      <w:bCs/>
                      <w:color w:val="auto"/>
                      <w:kern w:val="2"/>
                      <w:sz w:val="24"/>
                      <w:szCs w:val="24"/>
                      <w:vertAlign w:val="baseline"/>
                      <w:lang w:val="en-US" w:eastAsia="zh-CN" w:bidi="ar-SA"/>
                    </w:rPr>
                  </w:pPr>
                  <w:r>
                    <w:rPr>
                      <w:rFonts w:hint="default" w:ascii="Times New Roman" w:hAnsi="Times New Roman" w:eastAsia="宋体" w:cs="Times New Roman"/>
                      <w:color w:val="auto"/>
                      <w:kern w:val="2"/>
                      <w:sz w:val="21"/>
                      <w:szCs w:val="21"/>
                      <w:highlight w:val="none"/>
                      <w:lang w:val="en-US" w:eastAsia="zh-CN" w:bidi="ar-SA"/>
                    </w:rPr>
                    <w:t>2</w:t>
                  </w:r>
                </w:p>
              </w:tc>
              <w:tc>
                <w:tcPr>
                  <w:tcW w:w="2227" w:type="dxa"/>
                  <w:tcBorders>
                    <w:top w:val="single" w:color="auto" w:sz="4" w:space="0"/>
                    <w:bottom w:val="single" w:color="auto" w:sz="4" w:space="0"/>
                  </w:tcBorders>
                  <w:vAlign w:val="center"/>
                </w:tcPr>
                <w:p w14:paraId="5D0F1B40">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ascii="Times New Roman" w:hAnsi="仿宋" w:cs="Times New Roman"/>
                      <w:color w:val="auto"/>
                      <w:sz w:val="21"/>
                      <w:szCs w:val="21"/>
                      <w:lang w:val="en-US" w:eastAsia="zh-CN"/>
                    </w:rPr>
                  </w:pPr>
                  <w:r>
                    <w:rPr>
                      <w:rFonts w:hint="eastAsia" w:hAnsi="仿宋" w:cs="Times New Roman"/>
                      <w:color w:val="auto"/>
                      <w:sz w:val="21"/>
                      <w:szCs w:val="21"/>
                      <w:lang w:val="en-US" w:eastAsia="zh-CN"/>
                    </w:rPr>
                    <w:t>负</w:t>
                  </w:r>
                  <w:r>
                    <w:rPr>
                      <w:rFonts w:hint="eastAsia" w:ascii="Times New Roman" w:hAnsi="仿宋" w:cs="Times New Roman"/>
                      <w:color w:val="auto"/>
                      <w:sz w:val="21"/>
                      <w:szCs w:val="21"/>
                      <w:lang w:val="en-US" w:eastAsia="zh-CN"/>
                    </w:rPr>
                    <w:t>极片</w:t>
                  </w:r>
                </w:p>
              </w:tc>
              <w:tc>
                <w:tcPr>
                  <w:tcW w:w="2231" w:type="dxa"/>
                  <w:tcBorders>
                    <w:top w:val="single" w:color="auto" w:sz="4" w:space="0"/>
                    <w:bottom w:val="single" w:color="auto" w:sz="4" w:space="0"/>
                  </w:tcBorders>
                  <w:vAlign w:val="center"/>
                </w:tcPr>
                <w:p w14:paraId="61205AB0">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1000万只</w:t>
                  </w:r>
                </w:p>
              </w:tc>
              <w:tc>
                <w:tcPr>
                  <w:tcW w:w="2229" w:type="dxa"/>
                  <w:tcBorders>
                    <w:top w:val="single" w:color="auto" w:sz="4" w:space="0"/>
                    <w:bottom w:val="single" w:color="auto" w:sz="4" w:space="0"/>
                  </w:tcBorders>
                  <w:vAlign w:val="center"/>
                </w:tcPr>
                <w:p w14:paraId="599FB28E">
                  <w:pPr>
                    <w:tabs>
                      <w:tab w:val="left" w:pos="6840"/>
                    </w:tabs>
                    <w:jc w:val="center"/>
                    <w:outlineLvl w:val="0"/>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外购</w:t>
                  </w:r>
                </w:p>
              </w:tc>
            </w:tr>
            <w:tr w14:paraId="7770075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tcBorders>
                    <w:top w:val="single" w:color="auto" w:sz="4" w:space="0"/>
                    <w:bottom w:val="single" w:color="auto" w:sz="4" w:space="0"/>
                  </w:tcBorders>
                  <w:shd w:val="clear" w:color="auto" w:fill="auto"/>
                  <w:vAlign w:val="center"/>
                </w:tcPr>
                <w:p w14:paraId="495154FC">
                  <w:pPr>
                    <w:widowControl/>
                    <w:jc w:val="center"/>
                    <w:textAlignment w:val="center"/>
                    <w:rPr>
                      <w:rFonts w:hint="default" w:ascii="Times New Roman" w:hAnsi="Times New Roman" w:eastAsia="黑体" w:cs="Times New Roman"/>
                      <w:bCs/>
                      <w:color w:val="auto"/>
                      <w:kern w:val="2"/>
                      <w:sz w:val="24"/>
                      <w:szCs w:val="24"/>
                      <w:vertAlign w:val="baseli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p>
              </w:tc>
              <w:tc>
                <w:tcPr>
                  <w:tcW w:w="2227" w:type="dxa"/>
                  <w:tcBorders>
                    <w:top w:val="single" w:color="auto" w:sz="4" w:space="0"/>
                    <w:bottom w:val="single" w:color="auto" w:sz="4" w:space="0"/>
                  </w:tcBorders>
                  <w:vAlign w:val="center"/>
                </w:tcPr>
                <w:p w14:paraId="418C1759">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ascii="Times New Roman" w:hAnsi="仿宋" w:cs="Times New Roman"/>
                      <w:color w:val="auto"/>
                      <w:sz w:val="21"/>
                      <w:szCs w:val="21"/>
                      <w:lang w:val="en-US" w:eastAsia="zh-CN"/>
                    </w:rPr>
                  </w:pPr>
                  <w:r>
                    <w:rPr>
                      <w:rFonts w:hint="eastAsia" w:ascii="Times New Roman" w:hAnsi="仿宋" w:cs="Times New Roman"/>
                      <w:color w:val="auto"/>
                      <w:sz w:val="21"/>
                      <w:szCs w:val="21"/>
                      <w:lang w:val="en-US" w:eastAsia="zh-CN"/>
                    </w:rPr>
                    <w:t>隔膜纸</w:t>
                  </w:r>
                </w:p>
              </w:tc>
              <w:tc>
                <w:tcPr>
                  <w:tcW w:w="2231" w:type="dxa"/>
                  <w:tcBorders>
                    <w:top w:val="single" w:color="auto" w:sz="4" w:space="0"/>
                    <w:bottom w:val="single" w:color="auto" w:sz="4" w:space="0"/>
                  </w:tcBorders>
                  <w:vAlign w:val="center"/>
                </w:tcPr>
                <w:p w14:paraId="504F89CE">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5t/a</w:t>
                  </w:r>
                </w:p>
              </w:tc>
              <w:tc>
                <w:tcPr>
                  <w:tcW w:w="2229" w:type="dxa"/>
                  <w:tcBorders>
                    <w:top w:val="single" w:color="auto" w:sz="4" w:space="0"/>
                    <w:bottom w:val="single" w:color="auto" w:sz="4" w:space="0"/>
                  </w:tcBorders>
                  <w:vAlign w:val="center"/>
                </w:tcPr>
                <w:p w14:paraId="234BB842">
                  <w:pPr>
                    <w:tabs>
                      <w:tab w:val="left" w:pos="6840"/>
                    </w:tabs>
                    <w:jc w:val="center"/>
                    <w:outlineLvl w:val="0"/>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外购5</w:t>
                  </w:r>
                  <w:r>
                    <w:rPr>
                      <w:rFonts w:hint="eastAsia"/>
                      <w:color w:val="auto"/>
                      <w:lang w:val="en-US" w:eastAsia="zh-CN"/>
                    </w:rPr>
                    <w:t>0kg/卷</w:t>
                  </w:r>
                </w:p>
              </w:tc>
            </w:tr>
            <w:tr w14:paraId="38E4BC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tcBorders>
                    <w:top w:val="single" w:color="auto" w:sz="4" w:space="0"/>
                  </w:tcBorders>
                  <w:shd w:val="clear" w:color="auto" w:fill="auto"/>
                  <w:vAlign w:val="center"/>
                </w:tcPr>
                <w:p w14:paraId="399F5F24">
                  <w:pPr>
                    <w:widowControl/>
                    <w:jc w:val="center"/>
                    <w:textAlignment w:val="center"/>
                    <w:rPr>
                      <w:rFonts w:hint="default" w:ascii="Times New Roman" w:hAnsi="Times New Roman" w:eastAsia="黑体" w:cs="Times New Roman"/>
                      <w:bCs/>
                      <w:color w:val="auto"/>
                      <w:kern w:val="2"/>
                      <w:sz w:val="24"/>
                      <w:szCs w:val="24"/>
                      <w:vertAlign w:val="baseline"/>
                      <w:lang w:val="en-US" w:eastAsia="zh-CN" w:bidi="ar-SA"/>
                    </w:rPr>
                  </w:pPr>
                  <w:r>
                    <w:rPr>
                      <w:rFonts w:hint="default" w:ascii="Times New Roman" w:hAnsi="Times New Roman" w:eastAsia="宋体" w:cs="Times New Roman"/>
                      <w:color w:val="auto"/>
                      <w:kern w:val="2"/>
                      <w:sz w:val="21"/>
                      <w:szCs w:val="21"/>
                      <w:highlight w:val="none"/>
                      <w:lang w:val="en-US" w:eastAsia="zh-CN" w:bidi="ar-SA"/>
                    </w:rPr>
                    <w:t>4</w:t>
                  </w:r>
                </w:p>
              </w:tc>
              <w:tc>
                <w:tcPr>
                  <w:tcW w:w="2227" w:type="dxa"/>
                  <w:tcBorders>
                    <w:top w:val="single" w:color="auto" w:sz="4" w:space="0"/>
                  </w:tcBorders>
                  <w:vAlign w:val="center"/>
                </w:tcPr>
                <w:p w14:paraId="1DCB072B">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ascii="Times New Roman" w:hAnsi="仿宋" w:cs="Times New Roman"/>
                      <w:color w:val="auto"/>
                      <w:sz w:val="21"/>
                      <w:szCs w:val="21"/>
                      <w:lang w:val="en-US" w:eastAsia="zh-CN"/>
                    </w:rPr>
                  </w:pPr>
                  <w:r>
                    <w:rPr>
                      <w:rFonts w:hint="eastAsia" w:ascii="Times New Roman" w:hAnsi="仿宋" w:cs="Times New Roman"/>
                      <w:color w:val="auto"/>
                      <w:sz w:val="21"/>
                      <w:szCs w:val="21"/>
                      <w:lang w:val="en-US" w:eastAsia="zh-CN"/>
                    </w:rPr>
                    <w:t>极耳</w:t>
                  </w:r>
                </w:p>
              </w:tc>
              <w:tc>
                <w:tcPr>
                  <w:tcW w:w="2231" w:type="dxa"/>
                  <w:tcBorders>
                    <w:top w:val="single" w:color="auto" w:sz="4" w:space="0"/>
                  </w:tcBorders>
                  <w:vAlign w:val="center"/>
                </w:tcPr>
                <w:p w14:paraId="3D2693F8">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1000万只</w:t>
                  </w:r>
                </w:p>
              </w:tc>
              <w:tc>
                <w:tcPr>
                  <w:tcW w:w="2229" w:type="dxa"/>
                  <w:tcBorders>
                    <w:top w:val="single" w:color="auto" w:sz="4" w:space="0"/>
                  </w:tcBorders>
                  <w:vAlign w:val="center"/>
                </w:tcPr>
                <w:p w14:paraId="762D8475">
                  <w:pPr>
                    <w:tabs>
                      <w:tab w:val="left" w:pos="6840"/>
                    </w:tabs>
                    <w:jc w:val="center"/>
                    <w:outlineLvl w:val="0"/>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外购</w:t>
                  </w:r>
                </w:p>
              </w:tc>
            </w:tr>
            <w:tr w14:paraId="44105F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vAlign w:val="center"/>
                </w:tcPr>
                <w:p w14:paraId="31EB66F8">
                  <w:pPr>
                    <w:widowControl/>
                    <w:jc w:val="center"/>
                    <w:textAlignment w:val="center"/>
                    <w:rPr>
                      <w:rFonts w:hint="default" w:ascii="Times New Roman" w:hAnsi="Times New Roman" w:eastAsia="黑体" w:cs="Times New Roman"/>
                      <w:bCs/>
                      <w:color w:val="auto"/>
                      <w:kern w:val="2"/>
                      <w:sz w:val="24"/>
                      <w:szCs w:val="24"/>
                      <w:vertAlign w:val="baseline"/>
                      <w:lang w:val="en-US" w:eastAsia="zh-CN" w:bidi="ar-SA"/>
                    </w:rPr>
                  </w:pPr>
                  <w:r>
                    <w:rPr>
                      <w:rFonts w:hint="eastAsia" w:eastAsia="黑体" w:cs="Times New Roman"/>
                      <w:bCs/>
                      <w:color w:val="auto"/>
                      <w:kern w:val="2"/>
                      <w:sz w:val="24"/>
                      <w:szCs w:val="24"/>
                      <w:vertAlign w:val="baseline"/>
                      <w:lang w:val="en-US" w:eastAsia="zh-CN" w:bidi="ar-SA"/>
                    </w:rPr>
                    <w:t>5</w:t>
                  </w:r>
                </w:p>
              </w:tc>
              <w:tc>
                <w:tcPr>
                  <w:tcW w:w="2227" w:type="dxa"/>
                  <w:shd w:val="clear" w:color="auto" w:fill="auto"/>
                  <w:vAlign w:val="center"/>
                </w:tcPr>
                <w:p w14:paraId="03E90EC1">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仿宋" w:cs="Times New Roman"/>
                      <w:color w:val="auto"/>
                      <w:sz w:val="21"/>
                      <w:szCs w:val="21"/>
                      <w:lang w:val="en-US" w:eastAsia="zh-CN"/>
                    </w:rPr>
                  </w:pPr>
                  <w:r>
                    <w:rPr>
                      <w:rFonts w:hint="eastAsia" w:ascii="Times New Roman" w:hAnsi="仿宋" w:cs="Times New Roman"/>
                      <w:color w:val="auto"/>
                      <w:sz w:val="21"/>
                      <w:szCs w:val="21"/>
                      <w:lang w:val="en-US" w:eastAsia="zh-CN"/>
                    </w:rPr>
                    <w:t>电解液（</w:t>
                  </w:r>
                  <w:r>
                    <w:rPr>
                      <w:rFonts w:hint="eastAsia" w:ascii="Times New Roman" w:hAnsi="Times New Roman" w:cs="Times New Roman"/>
                      <w:color w:val="auto"/>
                      <w:sz w:val="21"/>
                      <w:szCs w:val="21"/>
                      <w:lang w:val="en-US" w:eastAsia="zh-CN"/>
                    </w:rPr>
                    <w:t>30%KOH</w:t>
                  </w:r>
                  <w:r>
                    <w:rPr>
                      <w:rFonts w:hint="eastAsia" w:ascii="Times New Roman" w:hAnsi="仿宋" w:cs="Times New Roman"/>
                      <w:color w:val="auto"/>
                      <w:sz w:val="21"/>
                      <w:szCs w:val="21"/>
                      <w:lang w:val="en-US" w:eastAsia="zh-CN"/>
                    </w:rPr>
                    <w:t>）</w:t>
                  </w:r>
                </w:p>
              </w:tc>
              <w:tc>
                <w:tcPr>
                  <w:tcW w:w="2231" w:type="dxa"/>
                  <w:shd w:val="clear" w:color="auto" w:fill="auto"/>
                  <w:vAlign w:val="center"/>
                </w:tcPr>
                <w:p w14:paraId="4D0D883F">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14.4t/a</w:t>
                  </w:r>
                </w:p>
              </w:tc>
              <w:tc>
                <w:tcPr>
                  <w:tcW w:w="2229" w:type="dxa"/>
                  <w:vAlign w:val="center"/>
                </w:tcPr>
                <w:p w14:paraId="583C3939">
                  <w:pPr>
                    <w:tabs>
                      <w:tab w:val="left" w:pos="6840"/>
                    </w:tabs>
                    <w:jc w:val="center"/>
                    <w:outlineLvl w:val="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2t/桶，</w:t>
                  </w:r>
                  <w:r>
                    <w:rPr>
                      <w:rFonts w:hint="eastAsia" w:ascii="Times New Roman" w:hAnsi="Times New Roman" w:cs="Times New Roman"/>
                      <w:color w:val="auto"/>
                      <w:sz w:val="21"/>
                      <w:szCs w:val="21"/>
                      <w:lang w:val="en-US" w:eastAsia="zh-CN"/>
                    </w:rPr>
                    <w:t>桶装，外购</w:t>
                  </w:r>
                </w:p>
              </w:tc>
            </w:tr>
            <w:tr w14:paraId="60B6E6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vAlign w:val="center"/>
                </w:tcPr>
                <w:p w14:paraId="1B01E53D">
                  <w:pPr>
                    <w:widowControl/>
                    <w:jc w:val="center"/>
                    <w:textAlignment w:val="center"/>
                    <w:rPr>
                      <w:rFonts w:hint="default" w:ascii="Times New Roman" w:hAnsi="Times New Roman" w:eastAsia="黑体" w:cs="Times New Roman"/>
                      <w:bCs/>
                      <w:color w:val="auto"/>
                      <w:kern w:val="2"/>
                      <w:sz w:val="24"/>
                      <w:szCs w:val="24"/>
                      <w:vertAlign w:val="baseline"/>
                      <w:lang w:val="en-US" w:eastAsia="zh-CN" w:bidi="ar-SA"/>
                    </w:rPr>
                  </w:pPr>
                  <w:r>
                    <w:rPr>
                      <w:rFonts w:hint="eastAsia" w:eastAsia="黑体" w:cs="Times New Roman"/>
                      <w:bCs/>
                      <w:color w:val="auto"/>
                      <w:kern w:val="2"/>
                      <w:sz w:val="24"/>
                      <w:szCs w:val="24"/>
                      <w:vertAlign w:val="baseline"/>
                      <w:lang w:val="en-US" w:eastAsia="zh-CN" w:bidi="ar-SA"/>
                    </w:rPr>
                    <w:t>6</w:t>
                  </w:r>
                </w:p>
              </w:tc>
              <w:tc>
                <w:tcPr>
                  <w:tcW w:w="2227" w:type="dxa"/>
                  <w:shd w:val="clear" w:color="auto" w:fill="auto"/>
                  <w:vAlign w:val="center"/>
                </w:tcPr>
                <w:p w14:paraId="3ACCBBB0">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仿宋" w:eastAsia="宋体" w:cs="Times New Roman"/>
                      <w:color w:val="auto"/>
                      <w:kern w:val="0"/>
                      <w:sz w:val="21"/>
                      <w:szCs w:val="21"/>
                      <w:lang w:val="en-US" w:eastAsia="zh-CN" w:bidi="ar-SA"/>
                    </w:rPr>
                  </w:pPr>
                  <w:r>
                    <w:rPr>
                      <w:rFonts w:hint="eastAsia"/>
                      <w:color w:val="auto"/>
                      <w:sz w:val="21"/>
                      <w:szCs w:val="21"/>
                    </w:rPr>
                    <w:t>钢壳</w:t>
                  </w:r>
                  <w:r>
                    <w:rPr>
                      <w:rFonts w:hint="eastAsia"/>
                      <w:color w:val="auto"/>
                      <w:sz w:val="21"/>
                      <w:szCs w:val="21"/>
                      <w:lang w:val="en-US" w:eastAsia="zh-CN"/>
                    </w:rPr>
                    <w:t>（Fe）</w:t>
                  </w:r>
                </w:p>
              </w:tc>
              <w:tc>
                <w:tcPr>
                  <w:tcW w:w="2231" w:type="dxa"/>
                  <w:shd w:val="clear" w:color="auto" w:fill="auto"/>
                  <w:vAlign w:val="center"/>
                </w:tcPr>
                <w:p w14:paraId="15A73339">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sz w:val="21"/>
                      <w:szCs w:val="21"/>
                      <w:lang w:val="en-US" w:eastAsia="zh-CN"/>
                    </w:rPr>
                    <w:t>1000万只</w:t>
                  </w:r>
                </w:p>
              </w:tc>
              <w:tc>
                <w:tcPr>
                  <w:tcW w:w="2229" w:type="dxa"/>
                  <w:vAlign w:val="center"/>
                </w:tcPr>
                <w:p w14:paraId="6A6D7C4A">
                  <w:pPr>
                    <w:tabs>
                      <w:tab w:val="left" w:pos="6840"/>
                    </w:tabs>
                    <w:jc w:val="center"/>
                    <w:outlineLvl w:val="0"/>
                    <w:rPr>
                      <w:rFonts w:hint="eastAsia"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1000只/袋</w:t>
                  </w:r>
                  <w:bookmarkStart w:id="1" w:name="OLE_LINK2"/>
                  <w:r>
                    <w:rPr>
                      <w:rFonts w:hint="eastAsia" w:ascii="Times New Roman" w:hAnsi="Times New Roman" w:cs="Times New Roman"/>
                      <w:color w:val="auto"/>
                      <w:sz w:val="21"/>
                      <w:szCs w:val="21"/>
                      <w:lang w:val="en-US" w:eastAsia="zh-CN"/>
                    </w:rPr>
                    <w:t>，2g/只</w:t>
                  </w:r>
                  <w:bookmarkEnd w:id="1"/>
                </w:p>
              </w:tc>
            </w:tr>
            <w:tr w14:paraId="7531CD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26" w:type="dxa"/>
                  <w:tcBorders>
                    <w:bottom w:val="single" w:color="auto" w:sz="8" w:space="0"/>
                  </w:tcBorders>
                  <w:vAlign w:val="center"/>
                </w:tcPr>
                <w:p w14:paraId="56532B22">
                  <w:pPr>
                    <w:widowControl/>
                    <w:jc w:val="center"/>
                    <w:textAlignment w:val="center"/>
                    <w:rPr>
                      <w:rFonts w:hint="default" w:ascii="Times New Roman" w:hAnsi="Times New Roman" w:eastAsia="黑体" w:cs="Times New Roman"/>
                      <w:bCs/>
                      <w:color w:val="auto"/>
                      <w:kern w:val="2"/>
                      <w:sz w:val="24"/>
                      <w:szCs w:val="24"/>
                      <w:vertAlign w:val="baseline"/>
                      <w:lang w:val="en-US" w:eastAsia="zh-CN" w:bidi="ar-SA"/>
                    </w:rPr>
                  </w:pPr>
                  <w:r>
                    <w:rPr>
                      <w:rFonts w:hint="eastAsia" w:eastAsia="黑体" w:cs="Times New Roman"/>
                      <w:bCs/>
                      <w:color w:val="auto"/>
                      <w:kern w:val="2"/>
                      <w:sz w:val="24"/>
                      <w:szCs w:val="24"/>
                      <w:vertAlign w:val="baseline"/>
                      <w:lang w:val="en-US" w:eastAsia="zh-CN" w:bidi="ar-SA"/>
                    </w:rPr>
                    <w:t>7</w:t>
                  </w:r>
                </w:p>
              </w:tc>
              <w:tc>
                <w:tcPr>
                  <w:tcW w:w="2227" w:type="dxa"/>
                  <w:tcBorders>
                    <w:bottom w:val="single" w:color="auto" w:sz="8" w:space="0"/>
                  </w:tcBorders>
                  <w:shd w:val="clear" w:color="auto" w:fill="auto"/>
                  <w:vAlign w:val="center"/>
                </w:tcPr>
                <w:p w14:paraId="51425BE5">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仿宋" w:eastAsia="宋体" w:cs="Times New Roman"/>
                      <w:color w:val="auto"/>
                      <w:kern w:val="0"/>
                      <w:sz w:val="21"/>
                      <w:szCs w:val="21"/>
                      <w:lang w:val="en-US" w:eastAsia="zh-CN" w:bidi="ar-SA"/>
                    </w:rPr>
                  </w:pPr>
                  <w:r>
                    <w:rPr>
                      <w:rFonts w:hint="eastAsia" w:hAnsi="仿宋"/>
                      <w:color w:val="auto"/>
                      <w:sz w:val="21"/>
                      <w:szCs w:val="21"/>
                    </w:rPr>
                    <w:t>盖帽</w:t>
                  </w:r>
                  <w:r>
                    <w:rPr>
                      <w:rFonts w:hint="eastAsia"/>
                      <w:color w:val="auto"/>
                      <w:sz w:val="21"/>
                      <w:szCs w:val="21"/>
                      <w:lang w:val="en-US" w:eastAsia="zh-CN"/>
                    </w:rPr>
                    <w:t>（Fe）</w:t>
                  </w:r>
                </w:p>
              </w:tc>
              <w:tc>
                <w:tcPr>
                  <w:tcW w:w="2231" w:type="dxa"/>
                  <w:tcBorders>
                    <w:bottom w:val="single" w:color="auto" w:sz="8" w:space="0"/>
                  </w:tcBorders>
                  <w:shd w:val="clear" w:color="auto" w:fill="auto"/>
                  <w:vAlign w:val="center"/>
                </w:tcPr>
                <w:p w14:paraId="5170C049">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sz w:val="21"/>
                      <w:szCs w:val="21"/>
                      <w:lang w:val="en-US" w:eastAsia="zh-CN"/>
                    </w:rPr>
                    <w:t>1000万只</w:t>
                  </w:r>
                </w:p>
              </w:tc>
              <w:tc>
                <w:tcPr>
                  <w:tcW w:w="2229" w:type="dxa"/>
                  <w:tcBorders>
                    <w:bottom w:val="single" w:color="auto" w:sz="8" w:space="0"/>
                  </w:tcBorders>
                  <w:vAlign w:val="center"/>
                </w:tcPr>
                <w:p w14:paraId="7A76F79D">
                  <w:pPr>
                    <w:tabs>
                      <w:tab w:val="left" w:pos="6840"/>
                    </w:tabs>
                    <w:jc w:val="center"/>
                    <w:outlineLvl w:val="0"/>
                    <w:rPr>
                      <w:rFonts w:hint="eastAsia" w:ascii="Times New Roman" w:hAnsi="Times New Roman" w:eastAsia="黑体" w:cs="Times New Roman"/>
                      <w:bCs/>
                      <w:color w:val="auto"/>
                      <w:kern w:val="2"/>
                      <w:sz w:val="24"/>
                      <w:szCs w:val="24"/>
                      <w:vertAlign w:val="baseline"/>
                      <w:lang w:val="en-US" w:eastAsia="zh-CN" w:bidi="ar-SA"/>
                    </w:rPr>
                  </w:pPr>
                  <w:r>
                    <w:rPr>
                      <w:rFonts w:hint="eastAsia"/>
                      <w:color w:val="auto"/>
                      <w:sz w:val="21"/>
                      <w:szCs w:val="21"/>
                      <w:lang w:val="en-US" w:eastAsia="zh-CN"/>
                    </w:rPr>
                    <w:t>2万</w:t>
                  </w:r>
                  <w:r>
                    <w:rPr>
                      <w:rFonts w:hint="eastAsia"/>
                      <w:color w:val="auto"/>
                      <w:sz w:val="21"/>
                      <w:szCs w:val="21"/>
                    </w:rPr>
                    <w:t>只/袋</w:t>
                  </w:r>
                  <w:r>
                    <w:rPr>
                      <w:rFonts w:hint="eastAsia"/>
                      <w:color w:val="auto"/>
                      <w:sz w:val="21"/>
                      <w:szCs w:val="21"/>
                      <w:lang w:eastAsia="zh-CN"/>
                    </w:rPr>
                    <w:t>，</w:t>
                  </w:r>
                  <w:r>
                    <w:rPr>
                      <w:rFonts w:hint="eastAsia"/>
                      <w:color w:val="auto"/>
                      <w:sz w:val="21"/>
                      <w:szCs w:val="21"/>
                      <w:lang w:val="en-US" w:eastAsia="zh-CN"/>
                    </w:rPr>
                    <w:t>1g/只</w:t>
                  </w:r>
                </w:p>
              </w:tc>
            </w:tr>
          </w:tbl>
          <w:p w14:paraId="04F752B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eastAsia="黑体"/>
                <w:bCs/>
                <w:color w:val="auto"/>
                <w:sz w:val="24"/>
              </w:rPr>
            </w:pPr>
            <w:r>
              <w:rPr>
                <w:rFonts w:hint="eastAsia" w:eastAsia="黑体"/>
                <w:bCs/>
                <w:color w:val="auto"/>
                <w:sz w:val="24"/>
              </w:rPr>
              <w:t>原辅材料理化性质：</w:t>
            </w:r>
          </w:p>
          <w:p w14:paraId="2D30E638">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auto"/>
              <w:rPr>
                <w:rFonts w:hint="eastAsia"/>
                <w:bCs/>
                <w:color w:val="auto"/>
                <w:sz w:val="24"/>
              </w:rPr>
            </w:pPr>
            <w:r>
              <w:rPr>
                <w:rFonts w:hint="eastAsia"/>
                <w:b/>
                <w:bCs w:val="0"/>
                <w:color w:val="auto"/>
                <w:sz w:val="24"/>
                <w:lang w:val="en-US" w:eastAsia="zh-CN"/>
              </w:rPr>
              <w:t>①电解液</w:t>
            </w:r>
            <w:r>
              <w:rPr>
                <w:rFonts w:hint="eastAsia"/>
                <w:b/>
                <w:bCs w:val="0"/>
                <w:color w:val="auto"/>
                <w:sz w:val="24"/>
              </w:rPr>
              <w:t>：</w:t>
            </w:r>
            <w:r>
              <w:rPr>
                <w:rFonts w:hint="eastAsia"/>
                <w:bCs/>
                <w:color w:val="auto"/>
                <w:sz w:val="24"/>
              </w:rPr>
              <w:t>氢氧化钾碱性水溶液，具强碱性及腐蚀性。吸入后强烈刺激呼吸道或造成灼伤。皮肤和眼直接接触可引起灼伤；口服灼伤消化道，可致死。中等毒性，半数致死量（大鼠，经口）1230mg/kg。主要用作干燥剂、吸收剂，化工基本原料，镍氢电池电解液有效成分。</w:t>
            </w:r>
          </w:p>
          <w:p w14:paraId="24DCD614">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auto"/>
              <w:rPr>
                <w:rFonts w:hint="default" w:eastAsia="宋体"/>
                <w:b/>
                <w:bCs/>
                <w:color w:val="auto"/>
                <w:sz w:val="24"/>
                <w:lang w:val="en-US" w:eastAsia="zh-CN"/>
              </w:rPr>
            </w:pPr>
            <w:r>
              <w:rPr>
                <w:rFonts w:hint="eastAsia"/>
                <w:b/>
                <w:bCs/>
                <w:color w:val="auto"/>
                <w:sz w:val="24"/>
                <w:lang w:val="en-US" w:eastAsia="zh-CN"/>
              </w:rPr>
              <w:t>7</w:t>
            </w:r>
            <w:r>
              <w:rPr>
                <w:b/>
                <w:bCs/>
                <w:color w:val="auto"/>
                <w:sz w:val="24"/>
              </w:rPr>
              <w:t>、</w:t>
            </w:r>
            <w:r>
              <w:rPr>
                <w:rFonts w:hint="eastAsia"/>
                <w:b/>
                <w:bCs/>
                <w:color w:val="auto"/>
                <w:sz w:val="24"/>
                <w:lang w:val="en-US" w:eastAsia="zh-CN"/>
              </w:rPr>
              <w:t>给排水工程</w:t>
            </w:r>
          </w:p>
          <w:p w14:paraId="66072D3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宋体" w:eastAsia="宋体" w:cs="Times New Roman"/>
                <w:b w:val="0"/>
                <w:bCs w:val="0"/>
                <w:color w:val="auto"/>
                <w:sz w:val="24"/>
                <w:highlight w:val="none"/>
                <w:u w:val="none"/>
                <w:lang w:val="en-US" w:eastAsia="zh-CN"/>
              </w:rPr>
            </w:pPr>
            <w:r>
              <w:rPr>
                <w:rFonts w:hint="eastAsia" w:ascii="Times New Roman" w:hAnsi="宋体" w:eastAsia="宋体" w:cs="Times New Roman"/>
                <w:b w:val="0"/>
                <w:bCs w:val="0"/>
                <w:color w:val="auto"/>
                <w:sz w:val="24"/>
                <w:highlight w:val="none"/>
                <w:u w:val="none"/>
                <w:lang w:val="en-US" w:eastAsia="zh-CN"/>
              </w:rPr>
              <w:t>本项目用水主要为职工</w:t>
            </w:r>
            <w:r>
              <w:rPr>
                <w:rFonts w:hint="eastAsia" w:hAnsi="宋体" w:cs="Times New Roman"/>
                <w:b w:val="0"/>
                <w:bCs w:val="0"/>
                <w:color w:val="auto"/>
                <w:sz w:val="24"/>
                <w:highlight w:val="none"/>
                <w:u w:val="none"/>
                <w:lang w:val="en-US" w:eastAsia="zh-CN"/>
              </w:rPr>
              <w:t>生活</w:t>
            </w:r>
            <w:r>
              <w:rPr>
                <w:rFonts w:hint="eastAsia" w:ascii="Times New Roman" w:hAnsi="宋体" w:eastAsia="宋体" w:cs="Times New Roman"/>
                <w:b w:val="0"/>
                <w:bCs w:val="0"/>
                <w:color w:val="auto"/>
                <w:sz w:val="24"/>
                <w:highlight w:val="none"/>
                <w:u w:val="none"/>
                <w:lang w:val="en-US" w:eastAsia="zh-CN"/>
              </w:rPr>
              <w:t>用水。</w:t>
            </w:r>
          </w:p>
          <w:p w14:paraId="027798CD">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宋体" w:eastAsia="宋体" w:cs="Times New Roman"/>
                <w:b w:val="0"/>
                <w:bCs w:val="0"/>
                <w:color w:val="auto"/>
                <w:sz w:val="24"/>
                <w:highlight w:val="none"/>
                <w:u w:val="none"/>
                <w:lang w:val="en-US" w:eastAsia="zh-CN"/>
              </w:rPr>
            </w:pPr>
            <w:r>
              <w:rPr>
                <w:rFonts w:hint="eastAsia" w:ascii="Times New Roman" w:hAnsi="宋体" w:eastAsia="宋体" w:cs="Times New Roman"/>
                <w:b w:val="0"/>
                <w:bCs w:val="0"/>
                <w:color w:val="auto"/>
                <w:sz w:val="24"/>
                <w:highlight w:val="none"/>
                <w:u w:val="none"/>
                <w:lang w:val="en-US" w:eastAsia="zh-CN"/>
              </w:rPr>
              <w:t>①职工生活用水</w:t>
            </w:r>
          </w:p>
          <w:p w14:paraId="16A4FC3A">
            <w:pPr>
              <w:pStyle w:val="8"/>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bCs/>
                <w:color w:val="auto"/>
                <w:lang w:val="en-US" w:eastAsia="zh-CN"/>
              </w:rPr>
            </w:pPr>
            <w:r>
              <w:rPr>
                <w:rFonts w:hint="eastAsia"/>
                <w:bCs/>
                <w:color w:val="auto"/>
                <w:lang w:val="en-US" w:eastAsia="zh-CN"/>
              </w:rPr>
              <w:t>本项目新增加职工10人，双班生产，8h/d，年生产300天，生活用水量按30L/人 d计，则新增生活用水量为0.3m</w:t>
            </w:r>
            <w:r>
              <w:rPr>
                <w:rFonts w:hint="eastAsia"/>
                <w:bCs/>
                <w:color w:val="auto"/>
                <w:vertAlign w:val="superscript"/>
                <w:lang w:val="en-US" w:eastAsia="zh-CN"/>
              </w:rPr>
              <w:t>3</w:t>
            </w:r>
            <w:r>
              <w:rPr>
                <w:rFonts w:hint="eastAsia"/>
                <w:bCs/>
                <w:color w:val="auto"/>
                <w:lang w:val="en-US" w:eastAsia="zh-CN"/>
              </w:rPr>
              <w:t>/d（90m</w:t>
            </w:r>
            <w:r>
              <w:rPr>
                <w:rFonts w:hint="eastAsia"/>
                <w:bCs/>
                <w:color w:val="auto"/>
                <w:vertAlign w:val="superscript"/>
                <w:lang w:val="en-US" w:eastAsia="zh-CN"/>
              </w:rPr>
              <w:t>3</w:t>
            </w:r>
            <w:r>
              <w:rPr>
                <w:rFonts w:hint="eastAsia"/>
                <w:bCs/>
                <w:color w:val="auto"/>
                <w:lang w:val="en-US" w:eastAsia="zh-CN"/>
              </w:rPr>
              <w:t>/a），</w:t>
            </w:r>
            <w:r>
              <w:rPr>
                <w:rFonts w:hint="eastAsia"/>
                <w:color w:val="auto"/>
                <w:sz w:val="24"/>
              </w:rPr>
              <w:t>排污系数以0.8计</w:t>
            </w:r>
            <w:r>
              <w:rPr>
                <w:color w:val="auto"/>
                <w:sz w:val="24"/>
              </w:rPr>
              <w:t>，则项目废水产生量为</w:t>
            </w:r>
            <w:r>
              <w:rPr>
                <w:rFonts w:hint="eastAsia"/>
                <w:color w:val="auto"/>
                <w:sz w:val="24"/>
                <w:lang w:val="en-US" w:eastAsia="zh-CN"/>
              </w:rPr>
              <w:t>0.24</w:t>
            </w:r>
            <w:r>
              <w:rPr>
                <w:rFonts w:hint="eastAsia"/>
                <w:color w:val="auto"/>
                <w:sz w:val="24"/>
              </w:rPr>
              <w:t>t/d（</w:t>
            </w:r>
            <w:r>
              <w:rPr>
                <w:rFonts w:hint="eastAsia"/>
                <w:color w:val="auto"/>
                <w:sz w:val="24"/>
                <w:lang w:val="en-US" w:eastAsia="zh-CN"/>
              </w:rPr>
              <w:t>72</w:t>
            </w:r>
            <w:r>
              <w:rPr>
                <w:color w:val="auto"/>
                <w:sz w:val="24"/>
              </w:rPr>
              <w:t>t/a</w:t>
            </w:r>
            <w:r>
              <w:rPr>
                <w:rFonts w:hint="eastAsia"/>
                <w:color w:val="auto"/>
                <w:sz w:val="24"/>
              </w:rPr>
              <w:t>）</w:t>
            </w:r>
            <w:r>
              <w:rPr>
                <w:color w:val="auto"/>
                <w:sz w:val="24"/>
              </w:rPr>
              <w:t>，</w:t>
            </w:r>
            <w:r>
              <w:rPr>
                <w:rFonts w:hint="eastAsia"/>
                <w:bCs/>
                <w:color w:val="auto"/>
                <w:lang w:val="en-US" w:eastAsia="zh-CN"/>
              </w:rPr>
              <w:t>生活污水经厂区化粪池处理后，定期清运不外排。</w:t>
            </w:r>
          </w:p>
        </w:tc>
      </w:tr>
      <w:tr w14:paraId="140E92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5" w:type="pct"/>
            <w:noWrap w:val="0"/>
            <w:vAlign w:val="center"/>
          </w:tcPr>
          <w:p w14:paraId="2B562760">
            <w:pPr>
              <w:pStyle w:val="16"/>
              <w:adjustRightInd w:val="0"/>
              <w:snapToGrid w:val="0"/>
              <w:spacing w:before="0" w:beforeAutospacing="0" w:after="0" w:afterAutospacing="0"/>
              <w:jc w:val="center"/>
              <w:rPr>
                <w:rFonts w:hint="default" w:ascii="Times New Roman"/>
                <w:color w:val="auto"/>
                <w:sz w:val="21"/>
                <w:szCs w:val="21"/>
                <w:lang w:val="en-US" w:eastAsia="zh-CN"/>
              </w:rPr>
            </w:pPr>
            <w:r>
              <w:rPr>
                <w:rFonts w:hint="eastAsia" w:ascii="Times New Roman"/>
                <w:color w:val="auto"/>
                <w:sz w:val="21"/>
                <w:szCs w:val="21"/>
                <w:lang w:val="en-US" w:eastAsia="zh-CN"/>
              </w:rPr>
              <w:t>工艺流程</w:t>
            </w:r>
            <w:r>
              <w:rPr>
                <w:rFonts w:ascii="Times New Roman"/>
                <w:color w:val="auto"/>
                <w:sz w:val="21"/>
                <w:szCs w:val="21"/>
                <w:lang w:val="en-US" w:eastAsia="zh-CN"/>
              </w:rPr>
              <w:t>和产排污环节</w:t>
            </w:r>
          </w:p>
        </w:tc>
        <w:tc>
          <w:tcPr>
            <w:tcW w:w="4724" w:type="pct"/>
            <w:noWrap w:val="0"/>
            <w:vAlign w:val="top"/>
          </w:tcPr>
          <w:p w14:paraId="458B50F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b/>
                <w:bCs/>
                <w:color w:val="auto"/>
                <w:sz w:val="24"/>
                <w:szCs w:val="24"/>
              </w:rPr>
            </w:pPr>
            <w:r>
              <w:rPr>
                <w:rFonts w:hint="eastAsia"/>
                <w:b/>
                <w:bCs/>
                <w:color w:val="auto"/>
                <w:sz w:val="24"/>
                <w:szCs w:val="24"/>
                <w:lang w:val="en-US" w:eastAsia="zh-CN"/>
              </w:rPr>
              <w:t>工</w:t>
            </w:r>
            <w:r>
              <w:rPr>
                <w:b/>
                <w:bCs/>
                <w:color w:val="auto"/>
                <w:sz w:val="24"/>
                <w:szCs w:val="24"/>
              </w:rPr>
              <w:t>艺流程简述（图示）：</w:t>
            </w:r>
          </w:p>
          <w:p w14:paraId="713124F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color w:val="auto"/>
                <w:sz w:val="24"/>
              </w:rPr>
            </w:pPr>
            <w:r>
              <w:rPr>
                <w:rFonts w:hint="eastAsia"/>
                <w:color w:val="auto"/>
                <w:sz w:val="24"/>
                <w:szCs w:val="24"/>
                <w:lang w:val="en-US" w:eastAsia="zh-CN"/>
              </w:rPr>
              <w:t>本项目生产产品为镍氢电池</w:t>
            </w:r>
            <w:r>
              <w:rPr>
                <w:color w:val="auto"/>
                <w:sz w:val="24"/>
              </w:rPr>
              <w:t>，项目生产工艺流程图如下所示：</w:t>
            </w:r>
          </w:p>
          <w:p w14:paraId="67E00B94">
            <w:pPr>
              <w:jc w:val="center"/>
              <w:rPr>
                <w:color w:val="auto"/>
              </w:rPr>
            </w:pPr>
            <w:r>
              <w:rPr>
                <w:color w:val="auto"/>
              </w:rPr>
              <w:object>
                <v:shape id="_x0000_i1025" o:spt="75" type="#_x0000_t75" style="height:478.55pt;width:247.15pt;" o:ole="t" filled="f" o:preferrelative="t" stroked="f" coordsize="21600,21600">
                  <v:path/>
                  <v:fill on="f" focussize="0,0"/>
                  <v:stroke on="f"/>
                  <v:imagedata r:id="rId9" o:title=""/>
                  <o:lock v:ext="edit" aspectratio="f"/>
                  <w10:wrap type="none"/>
                  <w10:anchorlock/>
                </v:shape>
                <o:OLEObject Type="Embed" ProgID="Visio.Drawing.15" ShapeID="_x0000_i1025" DrawAspect="Content" ObjectID="_1468075725" r:id="rId8">
                  <o:LockedField>false</o:LockedField>
                </o:OLEObject>
              </w:object>
            </w:r>
          </w:p>
          <w:p w14:paraId="3FE7E1A6">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imes New Roman" w:hAnsi="Times New Roman" w:eastAsia="黑体" w:cs="Times New Roman"/>
                <w:bCs/>
                <w:color w:val="auto"/>
                <w:kern w:val="2"/>
                <w:sz w:val="24"/>
                <w:szCs w:val="24"/>
                <w:lang w:val="en-US" w:eastAsia="zh-CN" w:bidi="ar-SA"/>
              </w:rPr>
            </w:pPr>
            <w:r>
              <w:rPr>
                <w:rFonts w:hint="eastAsia" w:ascii="Times New Roman" w:hAnsi="Times New Roman" w:eastAsia="黑体" w:cs="Times New Roman"/>
                <w:bCs/>
                <w:color w:val="auto"/>
                <w:kern w:val="2"/>
                <w:sz w:val="24"/>
                <w:szCs w:val="24"/>
                <w:lang w:val="en-US" w:eastAsia="zh-CN" w:bidi="ar-SA"/>
              </w:rPr>
              <w:t>图</w:t>
            </w:r>
            <w:r>
              <w:rPr>
                <w:rFonts w:hint="eastAsia" w:eastAsia="黑体" w:cs="Times New Roman"/>
                <w:bCs/>
                <w:color w:val="auto"/>
                <w:kern w:val="2"/>
                <w:sz w:val="24"/>
                <w:szCs w:val="24"/>
                <w:lang w:val="en-US" w:eastAsia="zh-CN" w:bidi="ar-SA"/>
              </w:rPr>
              <w:t>2</w:t>
            </w:r>
            <w:r>
              <w:rPr>
                <w:rFonts w:hint="eastAsia" w:ascii="Times New Roman" w:hAnsi="Times New Roman" w:eastAsia="黑体" w:cs="Times New Roman"/>
                <w:bCs/>
                <w:color w:val="auto"/>
                <w:kern w:val="2"/>
                <w:sz w:val="24"/>
                <w:szCs w:val="24"/>
                <w:lang w:val="en-US" w:eastAsia="zh-CN" w:bidi="ar-SA"/>
              </w:rPr>
              <w:t xml:space="preserve">   生产工艺流程及产污环节图</w:t>
            </w:r>
          </w:p>
          <w:p w14:paraId="48B209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hAnsi="黑体" w:eastAsia="黑体"/>
                <w:color w:val="auto"/>
                <w:sz w:val="24"/>
                <w:lang w:val="en-US" w:eastAsia="zh-CN"/>
              </w:rPr>
            </w:pPr>
            <w:r>
              <w:rPr>
                <w:rFonts w:hint="eastAsia" w:hAnsi="黑体" w:eastAsia="黑体"/>
                <w:color w:val="auto"/>
                <w:sz w:val="24"/>
                <w:lang w:val="en-US" w:eastAsia="zh-CN"/>
              </w:rPr>
              <w:t>工艺流程说明：</w:t>
            </w:r>
          </w:p>
          <w:p w14:paraId="2A87C42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hAnsi="宋体" w:cs="Times New Roman"/>
                <w:color w:val="auto"/>
                <w:kern w:val="2"/>
                <w:sz w:val="24"/>
                <w:szCs w:val="24"/>
                <w:lang w:val="en-US" w:eastAsia="zh-CN" w:bidi="ar-SA"/>
              </w:rPr>
            </w:pPr>
            <w:r>
              <w:rPr>
                <w:rFonts w:hint="eastAsia" w:ascii="Times New Roman" w:hAnsi="宋体" w:eastAsia="宋体" w:cs="Times New Roman"/>
                <w:color w:val="auto"/>
                <w:kern w:val="2"/>
                <w:sz w:val="24"/>
                <w:szCs w:val="24"/>
                <w:lang w:val="en-US" w:eastAsia="zh-CN" w:bidi="ar-SA"/>
              </w:rPr>
              <w:t>（1）</w:t>
            </w:r>
            <w:r>
              <w:rPr>
                <w:rFonts w:hint="eastAsia" w:hAnsi="宋体" w:cs="Times New Roman"/>
                <w:color w:val="auto"/>
                <w:kern w:val="2"/>
                <w:sz w:val="24"/>
                <w:szCs w:val="24"/>
                <w:lang w:val="en-US" w:eastAsia="zh-CN" w:bidi="ar-SA"/>
              </w:rPr>
              <w:t>点极耳</w:t>
            </w:r>
          </w:p>
          <w:p w14:paraId="2B237BF6">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cs="Times New Roman"/>
                <w:color w:val="auto"/>
                <w:sz w:val="24"/>
                <w:lang w:val="en-US" w:eastAsia="zh-CN"/>
              </w:rPr>
            </w:pPr>
            <w:r>
              <w:rPr>
                <w:rFonts w:hint="eastAsia" w:ascii="Times New Roman" w:hAnsi="Times New Roman" w:cs="Times New Roman"/>
                <w:color w:val="auto"/>
                <w:sz w:val="24"/>
              </w:rPr>
              <w:t>采用</w:t>
            </w:r>
            <w:r>
              <w:rPr>
                <w:rFonts w:hint="eastAsia" w:ascii="Times New Roman" w:hAnsi="Times New Roman" w:cs="Times New Roman"/>
                <w:color w:val="auto"/>
                <w:sz w:val="24"/>
                <w:lang w:val="en-US" w:eastAsia="zh-CN"/>
              </w:rPr>
              <w:t>自动</w:t>
            </w:r>
            <w:r>
              <w:rPr>
                <w:rFonts w:hint="eastAsia" w:ascii="Times New Roman" w:hAnsi="Times New Roman" w:cs="Times New Roman"/>
                <w:color w:val="auto"/>
                <w:sz w:val="24"/>
              </w:rPr>
              <w:t>点焊机在正极片上焊接极耳</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极耳焊接采用高压点焊技术，其优点在于快速、节能、熔合强度高、导电性好、无火花、接近冷态加工，不会产生焊接烟气</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拆解外购原料包装袋时，会产生废包装材料</w:t>
            </w:r>
            <w:r>
              <w:rPr>
                <w:rFonts w:hint="eastAsia" w:cs="Times New Roman"/>
                <w:color w:val="auto"/>
                <w:sz w:val="24"/>
                <w:lang w:val="en-US" w:eastAsia="zh-CN"/>
              </w:rPr>
              <w:t>。</w:t>
            </w:r>
          </w:p>
          <w:p w14:paraId="77108B9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2</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卷绕</w:t>
            </w:r>
          </w:p>
          <w:p w14:paraId="7B8C02F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s="Times New Roman"/>
                <w:color w:val="auto"/>
                <w:sz w:val="24"/>
              </w:rPr>
            </w:pPr>
            <w:r>
              <w:rPr>
                <w:rFonts w:hint="eastAsia" w:ascii="Times New Roman" w:hAnsi="Times New Roman" w:cs="Times New Roman"/>
                <w:color w:val="auto"/>
                <w:sz w:val="24"/>
              </w:rPr>
              <w:t>将正负极片和隔膜按照正极片</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rPr>
              <w:t>隔膜</w:t>
            </w:r>
            <w:r>
              <w:rPr>
                <w:rFonts w:hint="eastAsia" w:ascii="Times New Roman" w:hAnsi="Times New Roman" w:cs="Times New Roman"/>
                <w:color w:val="auto"/>
                <w:sz w:val="24"/>
                <w:lang w:val="en-US" w:eastAsia="zh-CN"/>
              </w:rPr>
              <w:t>-</w:t>
            </w:r>
            <w:r>
              <w:rPr>
                <w:rFonts w:hint="eastAsia" w:ascii="Times New Roman" w:hAnsi="Times New Roman" w:cs="Times New Roman"/>
                <w:color w:val="auto"/>
                <w:sz w:val="24"/>
              </w:rPr>
              <w:t>负极片自上而下顺序放好经</w:t>
            </w:r>
            <w:r>
              <w:rPr>
                <w:rFonts w:hint="eastAsia" w:ascii="Times New Roman" w:hAnsi="Times New Roman" w:cs="Times New Roman"/>
                <w:color w:val="auto"/>
                <w:sz w:val="24"/>
                <w:lang w:val="en-US" w:eastAsia="zh-CN"/>
              </w:rPr>
              <w:t>自动卷绕机</w:t>
            </w:r>
            <w:r>
              <w:rPr>
                <w:rFonts w:hint="eastAsia" w:ascii="Times New Roman" w:hAnsi="Times New Roman" w:cs="Times New Roman"/>
                <w:color w:val="auto"/>
                <w:sz w:val="24"/>
              </w:rPr>
              <w:t>卷绕制成电池电芯</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放入外壳内，隔膜采用聚丙烯+聚乙烯材料。</w:t>
            </w:r>
          </w:p>
          <w:p w14:paraId="59AB68B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s="Times New Roman"/>
                <w:color w:val="auto"/>
                <w:sz w:val="24"/>
                <w:lang w:eastAsia="zh-CN"/>
              </w:rPr>
            </w:pP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3</w:t>
            </w:r>
            <w:r>
              <w:rPr>
                <w:rFonts w:hint="eastAsia" w:ascii="Times New Roman" w:hAnsi="Times New Roman" w:cs="Times New Roman"/>
                <w:color w:val="auto"/>
                <w:sz w:val="24"/>
                <w:lang w:eastAsia="zh-CN"/>
              </w:rPr>
              <w:t>）滚槽、注液、封口</w:t>
            </w:r>
          </w:p>
          <w:p w14:paraId="6A8F64C2">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s="Times New Roman"/>
                <w:color w:val="auto"/>
                <w:sz w:val="24"/>
                <w:lang w:val="en-US" w:eastAsia="zh-CN"/>
              </w:rPr>
            </w:pPr>
            <w:r>
              <w:rPr>
                <w:rFonts w:hint="eastAsia" w:ascii="Times New Roman" w:hAnsi="Times New Roman" w:cs="Times New Roman"/>
                <w:color w:val="auto"/>
                <w:sz w:val="24"/>
              </w:rPr>
              <w:t>然后采用</w:t>
            </w:r>
            <w:r>
              <w:rPr>
                <w:rFonts w:hint="eastAsia" w:ascii="Times New Roman" w:hAnsi="Times New Roman" w:cs="Times New Roman"/>
                <w:color w:val="auto"/>
                <w:sz w:val="24"/>
                <w:lang w:val="en-US" w:eastAsia="zh-CN"/>
              </w:rPr>
              <w:t>自动装配线</w:t>
            </w:r>
            <w:r>
              <w:rPr>
                <w:rFonts w:hint="eastAsia" w:ascii="Times New Roman" w:hAnsi="Times New Roman" w:cs="Times New Roman"/>
                <w:color w:val="auto"/>
                <w:sz w:val="24"/>
              </w:rPr>
              <w:t>在电池钢壳端面处滚出凹槽，通过在凹槽中安装</w:t>
            </w:r>
            <w:r>
              <w:rPr>
                <w:rFonts w:hint="eastAsia" w:ascii="Times New Roman" w:hAnsi="Times New Roman" w:cs="Times New Roman"/>
                <w:color w:val="auto"/>
                <w:sz w:val="24"/>
                <w:lang w:val="en-US" w:eastAsia="zh-CN"/>
              </w:rPr>
              <w:t>盖帽</w:t>
            </w:r>
            <w:r>
              <w:rPr>
                <w:rFonts w:hint="eastAsia" w:ascii="Times New Roman" w:hAnsi="Times New Roman" w:cs="Times New Roman"/>
                <w:color w:val="auto"/>
                <w:sz w:val="24"/>
              </w:rPr>
              <w:t>，从而把镍氢圆柱电池进行密封</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将组装后的电池进行注液</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rPr>
              <w:t>注液材料为外购的成品电解液，主要成分为</w:t>
            </w:r>
            <w:r>
              <w:rPr>
                <w:rFonts w:hint="eastAsia" w:ascii="Times New Roman" w:hAnsi="Times New Roman" w:cs="Times New Roman"/>
                <w:color w:val="auto"/>
                <w:sz w:val="24"/>
                <w:lang w:val="en-US" w:eastAsia="zh-CN"/>
              </w:rPr>
              <w:t>浓度30%的</w:t>
            </w:r>
            <w:r>
              <w:rPr>
                <w:rFonts w:hint="eastAsia" w:ascii="Times New Roman" w:hAnsi="Times New Roman" w:cs="Times New Roman"/>
                <w:color w:val="auto"/>
                <w:sz w:val="24"/>
              </w:rPr>
              <w:t>KOH</w:t>
            </w:r>
            <w:r>
              <w:rPr>
                <w:rFonts w:hint="eastAsia" w:ascii="Times New Roman" w:hAnsi="Times New Roman" w:cs="Times New Roman"/>
                <w:color w:val="auto"/>
                <w:sz w:val="24"/>
                <w:lang w:val="en-US" w:eastAsia="zh-CN"/>
              </w:rPr>
              <w:t>溶液</w:t>
            </w:r>
            <w:r>
              <w:rPr>
                <w:rFonts w:hint="eastAsia" w:ascii="Times New Roman" w:hAnsi="Times New Roman" w:cs="Times New Roman"/>
                <w:color w:val="auto"/>
                <w:sz w:val="24"/>
              </w:rPr>
              <w:t>。注液后的电池</w:t>
            </w:r>
            <w:r>
              <w:rPr>
                <w:rFonts w:hint="eastAsia" w:ascii="Times New Roman" w:hAnsi="Times New Roman" w:cs="Times New Roman"/>
                <w:color w:val="auto"/>
                <w:sz w:val="24"/>
                <w:lang w:val="en-US" w:eastAsia="zh-CN"/>
              </w:rPr>
              <w:t>采用</w:t>
            </w:r>
            <w:r>
              <w:rPr>
                <w:rFonts w:hint="eastAsia" w:ascii="Times New Roman" w:hAnsi="Times New Roman" w:cs="Times New Roman"/>
                <w:color w:val="auto"/>
                <w:sz w:val="24"/>
              </w:rPr>
              <w:t>高压点焊技术封口，使其密封</w:t>
            </w:r>
            <w:r>
              <w:rPr>
                <w:rFonts w:hint="eastAsia" w:ascii="Times New Roman" w:hAnsi="Times New Roman" w:cs="Times New Roman"/>
                <w:color w:val="auto"/>
                <w:sz w:val="24"/>
                <w:lang w:eastAsia="zh-CN"/>
              </w:rPr>
              <w:t>，</w:t>
            </w:r>
            <w:r>
              <w:rPr>
                <w:rFonts w:hint="eastAsia" w:ascii="Times New Roman" w:hAnsi="Times New Roman" w:cs="Times New Roman"/>
                <w:color w:val="auto"/>
                <w:sz w:val="24"/>
                <w:lang w:val="en-US" w:eastAsia="zh-CN"/>
              </w:rPr>
              <w:t>此过程中</w:t>
            </w:r>
            <w:r>
              <w:rPr>
                <w:rFonts w:hint="eastAsia" w:ascii="Times New Roman" w:hAnsi="Times New Roman" w:cs="Times New Roman"/>
                <w:color w:val="auto"/>
                <w:sz w:val="24"/>
              </w:rPr>
              <w:t>不会产生焊接烟气。</w:t>
            </w:r>
            <w:r>
              <w:rPr>
                <w:rFonts w:hint="eastAsia" w:ascii="Times New Roman" w:hAnsi="Times New Roman" w:cs="Times New Roman"/>
                <w:color w:val="auto"/>
                <w:sz w:val="24"/>
                <w:lang w:val="en-US" w:eastAsia="zh-CN"/>
              </w:rPr>
              <w:t>本项目注液过程产生电解液空包装桶，电解液空包装桶不在厂区存放，由电解液厂家收回重新利用。</w:t>
            </w:r>
          </w:p>
          <w:p w14:paraId="32AE7BE3">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s="Times New Roman"/>
                <w:color w:val="auto"/>
                <w:sz w:val="24"/>
                <w:lang w:eastAsia="zh-CN"/>
              </w:rPr>
            </w:pPr>
            <w:r>
              <w:rPr>
                <w:rFonts w:hint="eastAsia" w:ascii="Times New Roman" w:hAnsi="Times New Roman" w:cs="Times New Roman"/>
                <w:color w:val="auto"/>
                <w:sz w:val="24"/>
                <w:lang w:eastAsia="zh-CN"/>
              </w:rPr>
              <w:t>（</w:t>
            </w:r>
            <w:r>
              <w:rPr>
                <w:rFonts w:hint="eastAsia" w:cs="Times New Roman"/>
                <w:color w:val="auto"/>
                <w:sz w:val="24"/>
                <w:lang w:val="en-US" w:eastAsia="zh-CN"/>
              </w:rPr>
              <w:t>4</w:t>
            </w:r>
            <w:r>
              <w:rPr>
                <w:rFonts w:hint="eastAsia" w:ascii="Times New Roman" w:hAnsi="Times New Roman" w:cs="Times New Roman"/>
                <w:color w:val="auto"/>
                <w:sz w:val="24"/>
                <w:lang w:eastAsia="zh-CN"/>
              </w:rPr>
              <w:t>）化成</w:t>
            </w:r>
          </w:p>
          <w:p w14:paraId="47E4F22B">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化成是注液后电池的首次充放电，通过化成可对电池正负极活性物质进行激活。本项目采用电池化成架对电池进行化成，化成时间依据不同规格的电池有所差别，电池化成需要在高于常温的环境下，因此摆放好的电池需要被放置在高温恒温房中进行化成。</w:t>
            </w:r>
          </w:p>
          <w:p w14:paraId="7DD3BFF1">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cs="Times New Roman"/>
                <w:color w:val="auto"/>
                <w:sz w:val="24"/>
                <w:lang w:eastAsia="zh-CN"/>
              </w:rPr>
            </w:pPr>
            <w:r>
              <w:rPr>
                <w:rFonts w:hint="eastAsia" w:ascii="Times New Roman" w:hAnsi="Times New Roman" w:cs="Times New Roman"/>
                <w:color w:val="auto"/>
                <w:sz w:val="24"/>
                <w:lang w:eastAsia="zh-CN"/>
              </w:rPr>
              <w:t>（</w:t>
            </w:r>
            <w:r>
              <w:rPr>
                <w:rFonts w:hint="eastAsia" w:cs="Times New Roman"/>
                <w:color w:val="auto"/>
                <w:sz w:val="24"/>
                <w:lang w:val="en-US" w:eastAsia="zh-CN"/>
              </w:rPr>
              <w:t>5</w:t>
            </w:r>
            <w:r>
              <w:rPr>
                <w:rFonts w:hint="eastAsia" w:ascii="Times New Roman" w:hAnsi="Times New Roman" w:cs="Times New Roman"/>
                <w:color w:val="auto"/>
                <w:sz w:val="24"/>
                <w:lang w:eastAsia="zh-CN"/>
              </w:rPr>
              <w:t>）检验、包装、</w:t>
            </w:r>
            <w:r>
              <w:rPr>
                <w:rFonts w:hint="eastAsia" w:ascii="Times New Roman" w:hAnsi="Times New Roman" w:cs="Times New Roman"/>
                <w:color w:val="auto"/>
                <w:sz w:val="24"/>
                <w:lang w:val="en-US" w:eastAsia="zh-CN"/>
              </w:rPr>
              <w:t>出售</w:t>
            </w:r>
          </w:p>
          <w:p w14:paraId="41C5E99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经</w:t>
            </w:r>
            <w:r>
              <w:rPr>
                <w:rFonts w:hint="eastAsia" w:ascii="Times New Roman" w:hAnsi="Times New Roman" w:cs="Times New Roman"/>
                <w:color w:val="auto"/>
                <w:sz w:val="24"/>
              </w:rPr>
              <w:t>化成</w:t>
            </w:r>
            <w:r>
              <w:rPr>
                <w:rFonts w:hint="eastAsia" w:ascii="Times New Roman" w:hAnsi="Times New Roman" w:cs="Times New Roman"/>
                <w:color w:val="auto"/>
                <w:sz w:val="24"/>
                <w:lang w:val="en-US" w:eastAsia="zh-CN"/>
              </w:rPr>
              <w:t>后的</w:t>
            </w:r>
            <w:r>
              <w:rPr>
                <w:rFonts w:hint="eastAsia" w:ascii="Times New Roman" w:hAnsi="Times New Roman" w:cs="Times New Roman"/>
                <w:color w:val="auto"/>
                <w:sz w:val="24"/>
              </w:rPr>
              <w:t>电池进行测阻检验、电压检验、尺寸检验等，合格产品包装入库。</w:t>
            </w:r>
            <w:r>
              <w:rPr>
                <w:rFonts w:hint="eastAsia" w:ascii="Times New Roman" w:hAnsi="Times New Roman" w:cs="Times New Roman"/>
                <w:color w:val="auto"/>
                <w:sz w:val="24"/>
                <w:lang w:val="en-US" w:eastAsia="zh-CN"/>
              </w:rPr>
              <w:t>检验过程中会产生次品电池</w:t>
            </w:r>
            <w:r>
              <w:rPr>
                <w:rFonts w:hint="eastAsia" w:cs="Times New Roman"/>
                <w:color w:val="auto"/>
                <w:sz w:val="24"/>
                <w:lang w:val="en-US" w:eastAsia="zh-CN"/>
              </w:rPr>
              <w:t>（不合格电池）。</w:t>
            </w:r>
          </w:p>
          <w:p w14:paraId="0367E05D">
            <w:pPr>
              <w:keepNext w:val="0"/>
              <w:keepLines w:val="0"/>
              <w:pageBreakBefore w:val="0"/>
              <w:widowControl w:val="0"/>
              <w:kinsoku/>
              <w:wordWrap/>
              <w:overflowPunct/>
              <w:topLinePunct w:val="0"/>
              <w:autoSpaceDE/>
              <w:autoSpaceDN/>
              <w:bidi w:val="0"/>
              <w:adjustRightInd/>
              <w:snapToGrid/>
              <w:spacing w:before="157" w:beforeLines="50" w:line="360" w:lineRule="auto"/>
              <w:jc w:val="left"/>
              <w:textAlignment w:val="auto"/>
              <w:rPr>
                <w:rFonts w:ascii="黑体" w:hAnsi="黑体" w:eastAsia="黑体"/>
                <w:bCs/>
                <w:color w:val="auto"/>
                <w:sz w:val="24"/>
              </w:rPr>
            </w:pPr>
            <w:r>
              <w:rPr>
                <w:rFonts w:hint="eastAsia" w:ascii="黑体" w:hAnsi="黑体" w:eastAsia="黑体"/>
                <w:bCs/>
                <w:color w:val="auto"/>
                <w:sz w:val="24"/>
              </w:rPr>
              <w:t>主要污染工序：</w:t>
            </w:r>
          </w:p>
          <w:p w14:paraId="3BA13F9E">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宋体" w:hAnsi="宋体"/>
                <w:color w:val="auto"/>
                <w:sz w:val="24"/>
              </w:rPr>
            </w:pPr>
            <w:r>
              <w:rPr>
                <w:rFonts w:hint="eastAsia"/>
                <w:color w:val="auto"/>
                <w:sz w:val="24"/>
              </w:rPr>
              <w:t>通过工艺流程分析，该项目</w:t>
            </w:r>
            <w:r>
              <w:rPr>
                <w:color w:val="auto"/>
                <w:sz w:val="24"/>
              </w:rPr>
              <w:t>营运期主要产污环节见</w:t>
            </w:r>
            <w:r>
              <w:rPr>
                <w:rFonts w:hint="eastAsia"/>
                <w:color w:val="auto"/>
                <w:sz w:val="24"/>
              </w:rPr>
              <w:t>下表</w:t>
            </w:r>
            <w:r>
              <w:rPr>
                <w:rFonts w:hint="eastAsia" w:ascii="宋体" w:hAnsi="宋体"/>
                <w:color w:val="auto"/>
                <w:sz w:val="24"/>
              </w:rPr>
              <w:t>。</w:t>
            </w:r>
          </w:p>
          <w:p w14:paraId="27746E90">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imes New Roman" w:hAnsi="Times New Roman" w:eastAsia="黑体" w:cs="Times New Roman"/>
                <w:bCs/>
                <w:color w:val="auto"/>
                <w:kern w:val="2"/>
                <w:sz w:val="24"/>
                <w:szCs w:val="24"/>
                <w:lang w:val="en-US" w:eastAsia="zh-CN" w:bidi="ar-SA"/>
              </w:rPr>
            </w:pPr>
            <w:r>
              <w:rPr>
                <w:rFonts w:hint="eastAsia" w:ascii="Times New Roman" w:hAnsi="Times New Roman" w:eastAsia="黑体" w:cs="Times New Roman"/>
                <w:bCs/>
                <w:color w:val="auto"/>
                <w:kern w:val="2"/>
                <w:sz w:val="24"/>
                <w:szCs w:val="24"/>
                <w:lang w:val="en-US" w:eastAsia="zh-CN" w:bidi="ar-SA"/>
              </w:rPr>
              <w:t>表</w:t>
            </w:r>
            <w:r>
              <w:rPr>
                <w:rFonts w:hint="eastAsia" w:eastAsia="黑体" w:cs="Times New Roman"/>
                <w:bCs/>
                <w:color w:val="auto"/>
                <w:kern w:val="2"/>
                <w:sz w:val="24"/>
                <w:szCs w:val="24"/>
                <w:lang w:val="en-US" w:eastAsia="zh-CN" w:bidi="ar-SA"/>
              </w:rPr>
              <w:t>11</w:t>
            </w:r>
            <w:r>
              <w:rPr>
                <w:rFonts w:hint="eastAsia" w:ascii="Times New Roman" w:hAnsi="Times New Roman" w:eastAsia="黑体" w:cs="Times New Roman"/>
                <w:bCs/>
                <w:color w:val="auto"/>
                <w:kern w:val="2"/>
                <w:sz w:val="24"/>
                <w:szCs w:val="24"/>
                <w:lang w:val="en-US" w:eastAsia="zh-CN" w:bidi="ar-SA"/>
              </w:rPr>
              <w:t xml:space="preserve">     项目产污环节一览表</w:t>
            </w:r>
          </w:p>
          <w:tbl>
            <w:tblPr>
              <w:tblStyle w:val="17"/>
              <w:tblW w:w="5000" w:type="pct"/>
              <w:jc w:val="center"/>
              <w:tblLayout w:type="autofit"/>
              <w:tblCellMar>
                <w:top w:w="0" w:type="dxa"/>
                <w:left w:w="108" w:type="dxa"/>
                <w:bottom w:w="0" w:type="dxa"/>
                <w:right w:w="108" w:type="dxa"/>
              </w:tblCellMar>
            </w:tblPr>
            <w:tblGrid>
              <w:gridCol w:w="1030"/>
              <w:gridCol w:w="1914"/>
              <w:gridCol w:w="2251"/>
              <w:gridCol w:w="2641"/>
            </w:tblGrid>
            <w:tr w14:paraId="2F6BA16A">
              <w:tblPrEx>
                <w:tblCellMar>
                  <w:top w:w="0" w:type="dxa"/>
                  <w:left w:w="108" w:type="dxa"/>
                  <w:bottom w:w="0" w:type="dxa"/>
                  <w:right w:w="108" w:type="dxa"/>
                </w:tblCellMar>
              </w:tblPrEx>
              <w:trPr>
                <w:trHeight w:val="397" w:hRule="atLeast"/>
                <w:jc w:val="center"/>
              </w:trPr>
              <w:tc>
                <w:tcPr>
                  <w:tcW w:w="1030" w:type="dxa"/>
                  <w:tcBorders>
                    <w:top w:val="single" w:color="auto" w:sz="8" w:space="0"/>
                    <w:bottom w:val="single" w:color="auto" w:sz="8" w:space="0"/>
                    <w:right w:val="single" w:color="auto" w:sz="4" w:space="0"/>
                  </w:tcBorders>
                  <w:noWrap w:val="0"/>
                  <w:vAlign w:val="center"/>
                </w:tcPr>
                <w:p w14:paraId="70D261E7">
                  <w:pPr>
                    <w:adjustRightInd w:val="0"/>
                    <w:snapToGrid w:val="0"/>
                    <w:jc w:val="center"/>
                    <w:rPr>
                      <w:b/>
                      <w:color w:val="auto"/>
                      <w:szCs w:val="21"/>
                      <w:highlight w:val="none"/>
                    </w:rPr>
                  </w:pPr>
                  <w:r>
                    <w:rPr>
                      <w:rFonts w:hAnsi="宋体"/>
                      <w:b/>
                      <w:color w:val="auto"/>
                      <w:szCs w:val="21"/>
                      <w:highlight w:val="none"/>
                    </w:rPr>
                    <w:t>污染因素</w:t>
                  </w:r>
                </w:p>
              </w:tc>
              <w:tc>
                <w:tcPr>
                  <w:tcW w:w="1914" w:type="dxa"/>
                  <w:tcBorders>
                    <w:top w:val="single" w:color="auto" w:sz="8" w:space="0"/>
                    <w:left w:val="single" w:color="auto" w:sz="4" w:space="0"/>
                    <w:bottom w:val="single" w:color="auto" w:sz="8" w:space="0"/>
                    <w:right w:val="single" w:color="auto" w:sz="4" w:space="0"/>
                  </w:tcBorders>
                  <w:noWrap w:val="0"/>
                  <w:vAlign w:val="center"/>
                </w:tcPr>
                <w:p w14:paraId="489E992B">
                  <w:pPr>
                    <w:adjustRightInd w:val="0"/>
                    <w:snapToGrid w:val="0"/>
                    <w:jc w:val="center"/>
                    <w:rPr>
                      <w:b/>
                      <w:color w:val="auto"/>
                      <w:szCs w:val="21"/>
                      <w:highlight w:val="none"/>
                    </w:rPr>
                  </w:pPr>
                  <w:r>
                    <w:rPr>
                      <w:rFonts w:hAnsi="宋体"/>
                      <w:b/>
                      <w:color w:val="auto"/>
                      <w:szCs w:val="21"/>
                      <w:highlight w:val="none"/>
                    </w:rPr>
                    <w:t>产污环节</w:t>
                  </w:r>
                </w:p>
              </w:tc>
              <w:tc>
                <w:tcPr>
                  <w:tcW w:w="2251" w:type="dxa"/>
                  <w:tcBorders>
                    <w:top w:val="single" w:color="auto" w:sz="8" w:space="0"/>
                    <w:left w:val="single" w:color="auto" w:sz="4" w:space="0"/>
                    <w:bottom w:val="single" w:color="auto" w:sz="8" w:space="0"/>
                    <w:right w:val="single" w:color="auto" w:sz="4" w:space="0"/>
                  </w:tcBorders>
                  <w:noWrap w:val="0"/>
                  <w:vAlign w:val="center"/>
                </w:tcPr>
                <w:p w14:paraId="16B2DE3A">
                  <w:pPr>
                    <w:adjustRightInd w:val="0"/>
                    <w:snapToGrid w:val="0"/>
                    <w:jc w:val="center"/>
                    <w:rPr>
                      <w:b/>
                      <w:color w:val="auto"/>
                      <w:szCs w:val="21"/>
                      <w:highlight w:val="none"/>
                    </w:rPr>
                  </w:pPr>
                  <w:r>
                    <w:rPr>
                      <w:rFonts w:hAnsi="宋体"/>
                      <w:b/>
                      <w:color w:val="auto"/>
                      <w:szCs w:val="21"/>
                      <w:highlight w:val="none"/>
                    </w:rPr>
                    <w:t>污染物</w:t>
                  </w:r>
                </w:p>
              </w:tc>
              <w:tc>
                <w:tcPr>
                  <w:tcW w:w="2641" w:type="dxa"/>
                  <w:tcBorders>
                    <w:top w:val="single" w:color="auto" w:sz="8" w:space="0"/>
                    <w:left w:val="single" w:color="auto" w:sz="4" w:space="0"/>
                    <w:bottom w:val="single" w:color="auto" w:sz="8" w:space="0"/>
                  </w:tcBorders>
                  <w:noWrap w:val="0"/>
                  <w:vAlign w:val="center"/>
                </w:tcPr>
                <w:p w14:paraId="6628685F">
                  <w:pPr>
                    <w:adjustRightInd w:val="0"/>
                    <w:snapToGrid w:val="0"/>
                    <w:jc w:val="center"/>
                    <w:rPr>
                      <w:b/>
                      <w:color w:val="auto"/>
                      <w:szCs w:val="21"/>
                      <w:highlight w:val="none"/>
                    </w:rPr>
                  </w:pPr>
                  <w:r>
                    <w:rPr>
                      <w:rFonts w:hAnsi="宋体"/>
                      <w:b/>
                      <w:color w:val="auto"/>
                      <w:szCs w:val="21"/>
                      <w:highlight w:val="none"/>
                    </w:rPr>
                    <w:t>污染防治措施</w:t>
                  </w:r>
                </w:p>
              </w:tc>
            </w:tr>
            <w:tr w14:paraId="4C459A34">
              <w:tblPrEx>
                <w:tblCellMar>
                  <w:top w:w="0" w:type="dxa"/>
                  <w:left w:w="108" w:type="dxa"/>
                  <w:bottom w:w="0" w:type="dxa"/>
                  <w:right w:w="108" w:type="dxa"/>
                </w:tblCellMar>
              </w:tblPrEx>
              <w:trPr>
                <w:trHeight w:val="804" w:hRule="atLeast"/>
                <w:jc w:val="center"/>
              </w:trPr>
              <w:tc>
                <w:tcPr>
                  <w:tcW w:w="1030" w:type="dxa"/>
                  <w:tcBorders>
                    <w:top w:val="single" w:color="auto" w:sz="4" w:space="0"/>
                    <w:right w:val="single" w:color="auto" w:sz="4" w:space="0"/>
                  </w:tcBorders>
                  <w:noWrap w:val="0"/>
                  <w:vAlign w:val="center"/>
                </w:tcPr>
                <w:p w14:paraId="6ACED7E3">
                  <w:pPr>
                    <w:adjustRightInd w:val="0"/>
                    <w:snapToGrid w:val="0"/>
                    <w:jc w:val="center"/>
                    <w:rPr>
                      <w:rFonts w:hint="eastAsia" w:ascii="宋体" w:hAnsi="宋体"/>
                      <w:color w:val="auto"/>
                      <w:szCs w:val="21"/>
                      <w:highlight w:val="none"/>
                    </w:rPr>
                  </w:pPr>
                  <w:r>
                    <w:rPr>
                      <w:rFonts w:hint="eastAsia" w:ascii="宋体" w:hAnsi="宋体"/>
                      <w:color w:val="auto"/>
                      <w:szCs w:val="21"/>
                      <w:highlight w:val="none"/>
                    </w:rPr>
                    <w:t>废水</w:t>
                  </w:r>
                </w:p>
              </w:tc>
              <w:tc>
                <w:tcPr>
                  <w:tcW w:w="1914" w:type="dxa"/>
                  <w:tcBorders>
                    <w:top w:val="single" w:color="auto" w:sz="4" w:space="0"/>
                    <w:left w:val="single" w:color="auto" w:sz="4" w:space="0"/>
                    <w:right w:val="single" w:color="auto" w:sz="4" w:space="0"/>
                  </w:tcBorders>
                  <w:noWrap w:val="0"/>
                  <w:vAlign w:val="center"/>
                </w:tcPr>
                <w:p w14:paraId="20EC0C95">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员工日常生活</w:t>
                  </w:r>
                </w:p>
              </w:tc>
              <w:tc>
                <w:tcPr>
                  <w:tcW w:w="2251" w:type="dxa"/>
                  <w:tcBorders>
                    <w:top w:val="single" w:color="auto" w:sz="4" w:space="0"/>
                    <w:left w:val="single" w:color="auto" w:sz="4" w:space="0"/>
                    <w:right w:val="single" w:color="auto" w:sz="4" w:space="0"/>
                  </w:tcBorders>
                  <w:noWrap w:val="0"/>
                  <w:vAlign w:val="center"/>
                </w:tcPr>
                <w:p w14:paraId="628F2AB2">
                  <w:pPr>
                    <w:adjustRightInd w:val="0"/>
                    <w:snapToGrid w:val="0"/>
                    <w:jc w:val="center"/>
                    <w:rPr>
                      <w:color w:val="auto"/>
                      <w:szCs w:val="21"/>
                      <w:highlight w:val="none"/>
                    </w:rPr>
                  </w:pPr>
                  <w:r>
                    <w:rPr>
                      <w:color w:val="auto"/>
                      <w:szCs w:val="21"/>
                      <w:highlight w:val="none"/>
                    </w:rPr>
                    <w:t>COD、SS、NH</w:t>
                  </w:r>
                  <w:r>
                    <w:rPr>
                      <w:color w:val="auto"/>
                      <w:szCs w:val="21"/>
                      <w:highlight w:val="none"/>
                      <w:vertAlign w:val="subscript"/>
                    </w:rPr>
                    <w:t>3</w:t>
                  </w:r>
                  <w:r>
                    <w:rPr>
                      <w:color w:val="auto"/>
                      <w:szCs w:val="21"/>
                      <w:highlight w:val="none"/>
                    </w:rPr>
                    <w:t>-N</w:t>
                  </w:r>
                  <w:r>
                    <w:rPr>
                      <w:rFonts w:hint="eastAsia"/>
                      <w:color w:val="auto"/>
                      <w:szCs w:val="21"/>
                      <w:highlight w:val="none"/>
                    </w:rPr>
                    <w:t>、TN、TP</w:t>
                  </w:r>
                </w:p>
              </w:tc>
              <w:tc>
                <w:tcPr>
                  <w:tcW w:w="2641" w:type="dxa"/>
                  <w:tcBorders>
                    <w:top w:val="single" w:color="auto" w:sz="4" w:space="0"/>
                    <w:left w:val="single" w:color="auto" w:sz="4" w:space="0"/>
                  </w:tcBorders>
                  <w:noWrap w:val="0"/>
                  <w:vAlign w:val="center"/>
                </w:tcPr>
                <w:p w14:paraId="7ED1EA08">
                  <w:pPr>
                    <w:adjustRightInd w:val="0"/>
                    <w:snapToGrid w:val="0"/>
                    <w:jc w:val="center"/>
                    <w:rPr>
                      <w:rFonts w:hint="default" w:eastAsia="宋体"/>
                      <w:color w:val="auto"/>
                      <w:szCs w:val="21"/>
                      <w:highlight w:val="none"/>
                      <w:lang w:val="en-US" w:eastAsia="zh-CN"/>
                    </w:rPr>
                  </w:pPr>
                  <w:r>
                    <w:rPr>
                      <w:rFonts w:hint="eastAsia"/>
                      <w:color w:val="auto"/>
                      <w:szCs w:val="21"/>
                      <w:highlight w:val="none"/>
                    </w:rPr>
                    <w:t>生活污水</w:t>
                  </w:r>
                  <w:r>
                    <w:rPr>
                      <w:rFonts w:hint="eastAsia"/>
                      <w:color w:val="auto"/>
                      <w:szCs w:val="21"/>
                      <w:highlight w:val="none"/>
                      <w:lang w:val="en-US" w:eastAsia="zh-CN"/>
                    </w:rPr>
                    <w:t>经厂区自建化粪池处理后，定期清运不外排</w:t>
                  </w:r>
                </w:p>
              </w:tc>
            </w:tr>
            <w:tr w14:paraId="776333C3">
              <w:tblPrEx>
                <w:tblCellMar>
                  <w:top w:w="0" w:type="dxa"/>
                  <w:left w:w="108" w:type="dxa"/>
                  <w:bottom w:w="0" w:type="dxa"/>
                  <w:right w:w="108" w:type="dxa"/>
                </w:tblCellMar>
              </w:tblPrEx>
              <w:trPr>
                <w:trHeight w:val="804" w:hRule="atLeast"/>
                <w:jc w:val="center"/>
              </w:trPr>
              <w:tc>
                <w:tcPr>
                  <w:tcW w:w="1030" w:type="dxa"/>
                  <w:vMerge w:val="restart"/>
                  <w:tcBorders>
                    <w:top w:val="single" w:color="auto" w:sz="4" w:space="0"/>
                    <w:right w:val="single" w:color="auto" w:sz="4" w:space="0"/>
                  </w:tcBorders>
                  <w:noWrap w:val="0"/>
                  <w:vAlign w:val="center"/>
                </w:tcPr>
                <w:p w14:paraId="56495CF8">
                  <w:pPr>
                    <w:adjustRightInd w:val="0"/>
                    <w:snapToGrid w:val="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固废</w:t>
                  </w:r>
                </w:p>
              </w:tc>
              <w:tc>
                <w:tcPr>
                  <w:tcW w:w="1914" w:type="dxa"/>
                  <w:tcBorders>
                    <w:top w:val="single" w:color="auto" w:sz="4" w:space="0"/>
                    <w:left w:val="single" w:color="auto" w:sz="4" w:space="0"/>
                    <w:right w:val="single" w:color="auto" w:sz="4" w:space="0"/>
                  </w:tcBorders>
                  <w:noWrap w:val="0"/>
                  <w:vAlign w:val="center"/>
                </w:tcPr>
                <w:p w14:paraId="7B1BD46D">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原料包装拆解</w:t>
                  </w:r>
                </w:p>
              </w:tc>
              <w:tc>
                <w:tcPr>
                  <w:tcW w:w="2251" w:type="dxa"/>
                  <w:tcBorders>
                    <w:top w:val="single" w:color="auto" w:sz="4" w:space="0"/>
                    <w:left w:val="single" w:color="auto" w:sz="4" w:space="0"/>
                    <w:right w:val="single" w:color="auto" w:sz="4" w:space="0"/>
                  </w:tcBorders>
                  <w:noWrap w:val="0"/>
                  <w:vAlign w:val="center"/>
                </w:tcPr>
                <w:p w14:paraId="3CCE8A8C">
                  <w:pPr>
                    <w:adjustRightInd w:val="0"/>
                    <w:snapToGrid w:val="0"/>
                    <w:jc w:val="center"/>
                    <w:rPr>
                      <w:rFonts w:hint="default"/>
                      <w:color w:val="auto"/>
                      <w:szCs w:val="21"/>
                      <w:highlight w:val="none"/>
                      <w:lang w:val="en-US"/>
                    </w:rPr>
                  </w:pPr>
                  <w:r>
                    <w:rPr>
                      <w:rFonts w:hint="eastAsia"/>
                      <w:color w:val="auto"/>
                      <w:szCs w:val="21"/>
                      <w:highlight w:val="none"/>
                      <w:lang w:val="en-US" w:eastAsia="zh-CN"/>
                    </w:rPr>
                    <w:t>废包装袋/纸箱</w:t>
                  </w:r>
                </w:p>
              </w:tc>
              <w:tc>
                <w:tcPr>
                  <w:tcW w:w="2641" w:type="dxa"/>
                  <w:vMerge w:val="restart"/>
                  <w:tcBorders>
                    <w:top w:val="single" w:color="auto" w:sz="4" w:space="0"/>
                    <w:left w:val="single" w:color="auto" w:sz="4" w:space="0"/>
                  </w:tcBorders>
                  <w:noWrap w:val="0"/>
                  <w:vAlign w:val="center"/>
                </w:tcPr>
                <w:p w14:paraId="614D34F6">
                  <w:pPr>
                    <w:adjustRightInd w:val="0"/>
                    <w:snapToGrid w:val="0"/>
                    <w:jc w:val="center"/>
                    <w:rPr>
                      <w:rFonts w:hint="eastAsia"/>
                      <w:color w:val="auto"/>
                      <w:szCs w:val="21"/>
                      <w:highlight w:val="none"/>
                    </w:rPr>
                  </w:pPr>
                  <w:r>
                    <w:rPr>
                      <w:rFonts w:hint="eastAsia"/>
                      <w:color w:val="auto"/>
                      <w:lang w:val="en-US" w:eastAsia="zh-CN"/>
                    </w:rPr>
                    <w:t>经收集后，于一般废物暂存间暂存，定期外售</w:t>
                  </w:r>
                </w:p>
              </w:tc>
            </w:tr>
            <w:tr w14:paraId="64188C53">
              <w:tblPrEx>
                <w:tblCellMar>
                  <w:top w:w="0" w:type="dxa"/>
                  <w:left w:w="108" w:type="dxa"/>
                  <w:bottom w:w="0" w:type="dxa"/>
                  <w:right w:w="108" w:type="dxa"/>
                </w:tblCellMar>
              </w:tblPrEx>
              <w:trPr>
                <w:trHeight w:val="804" w:hRule="atLeast"/>
                <w:jc w:val="center"/>
              </w:trPr>
              <w:tc>
                <w:tcPr>
                  <w:tcW w:w="1030" w:type="dxa"/>
                  <w:vMerge w:val="continue"/>
                  <w:tcBorders>
                    <w:right w:val="single" w:color="auto" w:sz="4" w:space="0"/>
                  </w:tcBorders>
                  <w:noWrap w:val="0"/>
                  <w:vAlign w:val="center"/>
                </w:tcPr>
                <w:p w14:paraId="3D03F6C2">
                  <w:pPr>
                    <w:adjustRightInd w:val="0"/>
                    <w:snapToGrid w:val="0"/>
                    <w:jc w:val="center"/>
                    <w:rPr>
                      <w:rFonts w:hint="eastAsia" w:ascii="宋体" w:hAnsi="宋体"/>
                      <w:color w:val="auto"/>
                      <w:szCs w:val="21"/>
                      <w:highlight w:val="none"/>
                      <w:lang w:val="en-US" w:eastAsia="zh-CN"/>
                    </w:rPr>
                  </w:pPr>
                </w:p>
              </w:tc>
              <w:tc>
                <w:tcPr>
                  <w:tcW w:w="1914" w:type="dxa"/>
                  <w:tcBorders>
                    <w:top w:val="single" w:color="auto" w:sz="4" w:space="0"/>
                    <w:left w:val="single" w:color="auto" w:sz="4" w:space="0"/>
                    <w:right w:val="single" w:color="auto" w:sz="4" w:space="0"/>
                  </w:tcBorders>
                  <w:noWrap w:val="0"/>
                  <w:vAlign w:val="center"/>
                </w:tcPr>
                <w:p w14:paraId="1C60F2E7">
                  <w:pPr>
                    <w:adjustRightInd w:val="0"/>
                    <w:snapToGrid w:val="0"/>
                    <w:jc w:val="center"/>
                    <w:rPr>
                      <w:rFonts w:hint="default"/>
                      <w:color w:val="auto"/>
                      <w:szCs w:val="21"/>
                      <w:highlight w:val="none"/>
                      <w:lang w:val="en-US" w:eastAsia="zh-CN"/>
                    </w:rPr>
                  </w:pPr>
                  <w:r>
                    <w:rPr>
                      <w:rFonts w:hint="eastAsia"/>
                      <w:color w:val="auto"/>
                      <w:szCs w:val="21"/>
                      <w:highlight w:val="none"/>
                      <w:lang w:val="en-US" w:eastAsia="zh-CN"/>
                    </w:rPr>
                    <w:t>检验</w:t>
                  </w:r>
                </w:p>
              </w:tc>
              <w:tc>
                <w:tcPr>
                  <w:tcW w:w="2251" w:type="dxa"/>
                  <w:tcBorders>
                    <w:top w:val="single" w:color="auto" w:sz="4" w:space="0"/>
                    <w:left w:val="single" w:color="auto" w:sz="4" w:space="0"/>
                    <w:right w:val="single" w:color="auto" w:sz="4" w:space="0"/>
                  </w:tcBorders>
                  <w:noWrap w:val="0"/>
                  <w:vAlign w:val="center"/>
                </w:tcPr>
                <w:p w14:paraId="03AF9986">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不合格产品</w:t>
                  </w:r>
                </w:p>
              </w:tc>
              <w:tc>
                <w:tcPr>
                  <w:tcW w:w="2641" w:type="dxa"/>
                  <w:vMerge w:val="continue"/>
                  <w:tcBorders>
                    <w:left w:val="single" w:color="auto" w:sz="4" w:space="0"/>
                  </w:tcBorders>
                  <w:noWrap w:val="0"/>
                  <w:vAlign w:val="center"/>
                </w:tcPr>
                <w:p w14:paraId="27EBF6FB">
                  <w:pPr>
                    <w:adjustRightInd w:val="0"/>
                    <w:snapToGrid w:val="0"/>
                    <w:jc w:val="center"/>
                    <w:rPr>
                      <w:rFonts w:hint="default" w:ascii="Times New Roman" w:hAnsi="Times New Roman" w:eastAsia="宋体" w:cs="Times New Roman"/>
                      <w:color w:val="auto"/>
                      <w:szCs w:val="21"/>
                      <w:highlight w:val="none"/>
                      <w:lang w:val="en-US" w:eastAsia="zh-CN"/>
                    </w:rPr>
                  </w:pPr>
                </w:p>
              </w:tc>
            </w:tr>
            <w:tr w14:paraId="4C34343F">
              <w:tblPrEx>
                <w:tblCellMar>
                  <w:top w:w="0" w:type="dxa"/>
                  <w:left w:w="108" w:type="dxa"/>
                  <w:bottom w:w="0" w:type="dxa"/>
                  <w:right w:w="108" w:type="dxa"/>
                </w:tblCellMar>
              </w:tblPrEx>
              <w:trPr>
                <w:trHeight w:val="397" w:hRule="atLeast"/>
                <w:jc w:val="center"/>
              </w:trPr>
              <w:tc>
                <w:tcPr>
                  <w:tcW w:w="1030" w:type="dxa"/>
                  <w:tcBorders>
                    <w:top w:val="single" w:color="auto" w:sz="4" w:space="0"/>
                    <w:bottom w:val="single" w:color="auto" w:sz="8" w:space="0"/>
                    <w:right w:val="single" w:color="auto" w:sz="4" w:space="0"/>
                  </w:tcBorders>
                  <w:noWrap w:val="0"/>
                  <w:vAlign w:val="center"/>
                </w:tcPr>
                <w:p w14:paraId="068BD001">
                  <w:pPr>
                    <w:adjustRightInd w:val="0"/>
                    <w:snapToGrid w:val="0"/>
                    <w:jc w:val="center"/>
                    <w:rPr>
                      <w:rFonts w:ascii="宋体" w:hAnsi="宋体"/>
                      <w:color w:val="auto"/>
                      <w:szCs w:val="21"/>
                      <w:highlight w:val="none"/>
                    </w:rPr>
                  </w:pPr>
                  <w:r>
                    <w:rPr>
                      <w:rFonts w:hint="eastAsia" w:ascii="宋体" w:hAnsi="宋体"/>
                      <w:color w:val="auto"/>
                      <w:szCs w:val="21"/>
                      <w:highlight w:val="none"/>
                    </w:rPr>
                    <w:t>噪声</w:t>
                  </w:r>
                </w:p>
              </w:tc>
              <w:tc>
                <w:tcPr>
                  <w:tcW w:w="1914" w:type="dxa"/>
                  <w:tcBorders>
                    <w:top w:val="single" w:color="auto" w:sz="4" w:space="0"/>
                    <w:left w:val="single" w:color="auto" w:sz="4" w:space="0"/>
                    <w:bottom w:val="single" w:color="auto" w:sz="8" w:space="0"/>
                    <w:right w:val="single" w:color="auto" w:sz="4" w:space="0"/>
                  </w:tcBorders>
                  <w:noWrap w:val="0"/>
                  <w:vAlign w:val="center"/>
                </w:tcPr>
                <w:p w14:paraId="345EED9C">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空压机、自动点焊机、</w:t>
                  </w:r>
                  <w:r>
                    <w:rPr>
                      <w:rFonts w:hint="eastAsia" w:ascii="Times New Roman" w:hAnsi="Times New Roman" w:cs="Times New Roman"/>
                      <w:color w:val="auto"/>
                      <w:szCs w:val="24"/>
                      <w:lang w:val="en-US" w:eastAsia="zh-CN"/>
                    </w:rPr>
                    <w:t>自动装配线</w:t>
                  </w:r>
                </w:p>
              </w:tc>
              <w:tc>
                <w:tcPr>
                  <w:tcW w:w="2251" w:type="dxa"/>
                  <w:tcBorders>
                    <w:top w:val="single" w:color="auto" w:sz="4" w:space="0"/>
                    <w:left w:val="single" w:color="auto" w:sz="4" w:space="0"/>
                    <w:bottom w:val="single" w:color="auto" w:sz="8" w:space="0"/>
                    <w:right w:val="single" w:color="auto" w:sz="4" w:space="0"/>
                  </w:tcBorders>
                  <w:noWrap w:val="0"/>
                  <w:vAlign w:val="center"/>
                </w:tcPr>
                <w:p w14:paraId="71AD613A">
                  <w:pPr>
                    <w:adjustRightInd w:val="0"/>
                    <w:snapToGrid w:val="0"/>
                    <w:jc w:val="center"/>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噪声</w:t>
                  </w:r>
                </w:p>
              </w:tc>
              <w:tc>
                <w:tcPr>
                  <w:tcW w:w="2641" w:type="dxa"/>
                  <w:tcBorders>
                    <w:top w:val="single" w:color="auto" w:sz="4" w:space="0"/>
                    <w:left w:val="single" w:color="auto" w:sz="4" w:space="0"/>
                    <w:bottom w:val="single" w:color="auto" w:sz="8" w:space="0"/>
                  </w:tcBorders>
                  <w:noWrap w:val="0"/>
                  <w:vAlign w:val="center"/>
                </w:tcPr>
                <w:p w14:paraId="0CDADC84">
                  <w:pPr>
                    <w:adjustRightInd w:val="0"/>
                    <w:snapToGrid w:val="0"/>
                    <w:jc w:val="center"/>
                    <w:rPr>
                      <w:color w:val="auto"/>
                      <w:szCs w:val="21"/>
                      <w:highlight w:val="none"/>
                    </w:rPr>
                  </w:pPr>
                  <w:r>
                    <w:rPr>
                      <w:rFonts w:hint="eastAsia"/>
                      <w:color w:val="auto"/>
                      <w:szCs w:val="21"/>
                      <w:highlight w:val="none"/>
                    </w:rPr>
                    <w:t>厂房密闭隔音、距离衰减</w:t>
                  </w:r>
                </w:p>
              </w:tc>
            </w:tr>
          </w:tbl>
          <w:p w14:paraId="210755B4">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Cs/>
                <w:color w:val="auto"/>
                <w:lang w:val="en-US" w:eastAsia="zh-CN"/>
              </w:rPr>
            </w:pPr>
          </w:p>
        </w:tc>
      </w:tr>
      <w:tr w14:paraId="3AD68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275" w:type="pct"/>
            <w:noWrap w:val="0"/>
            <w:vAlign w:val="center"/>
          </w:tcPr>
          <w:p w14:paraId="226722EA">
            <w:pPr>
              <w:pStyle w:val="16"/>
              <w:adjustRightInd w:val="0"/>
              <w:snapToGrid w:val="0"/>
              <w:spacing w:before="0" w:beforeAutospacing="0" w:after="0" w:afterAutospacing="0"/>
              <w:jc w:val="center"/>
              <w:rPr>
                <w:rFonts w:hint="eastAsia" w:ascii="Times New Roman" w:hAnsi="宋体" w:eastAsia="宋体" w:cs="Times New Roman"/>
                <w:color w:val="auto"/>
                <w:kern w:val="0"/>
                <w:sz w:val="21"/>
                <w:szCs w:val="21"/>
                <w:lang w:val="en-US" w:eastAsia="zh-CN" w:bidi="ar-SA"/>
              </w:rPr>
            </w:pPr>
            <w:r>
              <w:rPr>
                <w:rFonts w:ascii="Times New Roman"/>
                <w:bCs/>
                <w:color w:val="auto"/>
                <w:kern w:val="2"/>
                <w:sz w:val="21"/>
                <w:szCs w:val="21"/>
                <w:highlight w:val="none"/>
                <w:lang w:val="en-US" w:eastAsia="zh-CN"/>
              </w:rPr>
              <w:t>与项目有关的原有环境污染问题</w:t>
            </w:r>
          </w:p>
        </w:tc>
        <w:tc>
          <w:tcPr>
            <w:tcW w:w="4724" w:type="pct"/>
            <w:noWrap w:val="0"/>
            <w:vAlign w:val="top"/>
          </w:tcPr>
          <w:p w14:paraId="0CF9DB8A">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cs="Times New Roman"/>
                <w:color w:val="auto"/>
                <w:sz w:val="24"/>
              </w:rPr>
              <w:t>本项目属于新建项目，无原有</w:t>
            </w:r>
            <w:r>
              <w:rPr>
                <w:rFonts w:hint="eastAsia" w:cs="Times New Roman"/>
                <w:color w:val="auto"/>
                <w:sz w:val="24"/>
                <w:lang w:val="en-US" w:eastAsia="zh-CN"/>
              </w:rPr>
              <w:t>环境</w:t>
            </w:r>
            <w:r>
              <w:rPr>
                <w:rFonts w:hint="eastAsia" w:ascii="Times New Roman" w:hAnsi="Times New Roman" w:cs="Times New Roman"/>
                <w:color w:val="auto"/>
                <w:sz w:val="24"/>
              </w:rPr>
              <w:t>污染问题</w:t>
            </w:r>
            <w:r>
              <w:rPr>
                <w:rFonts w:hint="eastAsia" w:cs="Times New Roman"/>
                <w:color w:val="auto"/>
                <w:sz w:val="24"/>
                <w:lang w:eastAsia="zh-CN"/>
              </w:rPr>
              <w:t>。</w:t>
            </w:r>
          </w:p>
          <w:p w14:paraId="44AEE52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7BF960B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21E6631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32F8E62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664A1EA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79019DF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447DD8F8">
            <w:pPr>
              <w:pStyle w:val="10"/>
              <w:rPr>
                <w:rFonts w:hint="eastAsia" w:ascii="Times New Roman" w:hAnsi="宋体" w:eastAsia="宋体" w:cs="Times New Roman"/>
                <w:b w:val="0"/>
                <w:bCs/>
                <w:color w:val="auto"/>
                <w:kern w:val="2"/>
                <w:sz w:val="24"/>
                <w:szCs w:val="24"/>
                <w:lang w:val="en-US" w:eastAsia="zh-CN" w:bidi="ar-SA"/>
              </w:rPr>
            </w:pPr>
          </w:p>
          <w:p w14:paraId="7E6A945B">
            <w:pPr>
              <w:rPr>
                <w:rFonts w:hint="eastAsia" w:ascii="Times New Roman" w:hAnsi="宋体" w:eastAsia="宋体" w:cs="Times New Roman"/>
                <w:b w:val="0"/>
                <w:bCs/>
                <w:color w:val="auto"/>
                <w:kern w:val="2"/>
                <w:sz w:val="24"/>
                <w:szCs w:val="24"/>
                <w:lang w:val="en-US" w:eastAsia="zh-CN" w:bidi="ar-SA"/>
              </w:rPr>
            </w:pPr>
          </w:p>
          <w:p w14:paraId="70F9675B">
            <w:pPr>
              <w:pStyle w:val="10"/>
              <w:rPr>
                <w:rFonts w:hint="eastAsia" w:ascii="Times New Roman" w:hAnsi="宋体" w:eastAsia="宋体" w:cs="Times New Roman"/>
                <w:b w:val="0"/>
                <w:bCs/>
                <w:color w:val="auto"/>
                <w:kern w:val="2"/>
                <w:sz w:val="24"/>
                <w:szCs w:val="24"/>
                <w:lang w:val="en-US" w:eastAsia="zh-CN" w:bidi="ar-SA"/>
              </w:rPr>
            </w:pPr>
          </w:p>
          <w:p w14:paraId="7C0DE59F">
            <w:pPr>
              <w:rPr>
                <w:rFonts w:hint="eastAsia"/>
                <w:color w:val="auto"/>
                <w:lang w:val="en-US" w:eastAsia="zh-CN"/>
              </w:rPr>
            </w:pPr>
          </w:p>
          <w:p w14:paraId="7893A26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39A915B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2081D63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229FC5B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0950161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76A703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15E4C9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27E8555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536DBB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7DF5660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50149AD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宋体" w:eastAsia="宋体" w:cs="Times New Roman"/>
                <w:b w:val="0"/>
                <w:bCs/>
                <w:color w:val="auto"/>
                <w:kern w:val="2"/>
                <w:sz w:val="24"/>
                <w:szCs w:val="24"/>
                <w:lang w:val="en-US" w:eastAsia="zh-CN" w:bidi="ar-SA"/>
              </w:rPr>
            </w:pPr>
          </w:p>
          <w:p w14:paraId="52D17021">
            <w:pPr>
              <w:rPr>
                <w:rFonts w:hint="eastAsia"/>
                <w:color w:val="auto"/>
                <w:lang w:val="en-US" w:eastAsia="zh-CN"/>
              </w:rPr>
            </w:pPr>
          </w:p>
        </w:tc>
      </w:tr>
    </w:tbl>
    <w:p w14:paraId="4DFFFF90">
      <w:pPr>
        <w:pStyle w:val="16"/>
        <w:jc w:val="center"/>
        <w:outlineLvl w:val="0"/>
        <w:rPr>
          <w:rFonts w:hint="eastAsia" w:ascii="黑体" w:hAnsi="黑体" w:eastAsia="黑体"/>
          <w:snapToGrid w:val="0"/>
          <w:color w:val="auto"/>
          <w:sz w:val="30"/>
          <w:szCs w:val="30"/>
        </w:rPr>
        <w:sectPr>
          <w:pgSz w:w="11906" w:h="16838"/>
          <w:pgMar w:top="1440" w:right="1800" w:bottom="1440" w:left="1800" w:header="851" w:footer="992" w:gutter="0"/>
          <w:pgNumType w:fmt="decimal"/>
          <w:cols w:space="425" w:num="1"/>
          <w:docGrid w:type="lines" w:linePitch="312" w:charSpace="0"/>
        </w:sectPr>
      </w:pPr>
    </w:p>
    <w:p w14:paraId="12C1585A">
      <w:pPr>
        <w:pStyle w:val="16"/>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三、区域环境质量现状、环境保护目标及评价标准</w:t>
      </w:r>
    </w:p>
    <w:tbl>
      <w:tblPr>
        <w:tblStyle w:val="17"/>
        <w:tblW w:w="98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8820"/>
      </w:tblGrid>
      <w:tr w14:paraId="05A76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4" w:type="dxa"/>
            <w:noWrap w:val="0"/>
            <w:vAlign w:val="center"/>
          </w:tcPr>
          <w:p w14:paraId="199341CC">
            <w:pPr>
              <w:adjustRightInd w:val="0"/>
              <w:snapToGrid w:val="0"/>
              <w:jc w:val="center"/>
              <w:rPr>
                <w:color w:val="auto"/>
                <w:kern w:val="0"/>
                <w:sz w:val="24"/>
                <w:szCs w:val="24"/>
              </w:rPr>
            </w:pPr>
            <w:r>
              <w:rPr>
                <w:rFonts w:hAnsi="宋体"/>
                <w:color w:val="auto"/>
                <w:kern w:val="0"/>
                <w:sz w:val="24"/>
                <w:szCs w:val="24"/>
              </w:rPr>
              <w:t>区域环境质量</w:t>
            </w:r>
          </w:p>
          <w:p w14:paraId="12290C8E">
            <w:pPr>
              <w:adjustRightInd w:val="0"/>
              <w:snapToGrid w:val="0"/>
              <w:jc w:val="center"/>
              <w:rPr>
                <w:color w:val="auto"/>
                <w:kern w:val="0"/>
                <w:szCs w:val="21"/>
              </w:rPr>
            </w:pPr>
            <w:r>
              <w:rPr>
                <w:rFonts w:hAnsi="宋体"/>
                <w:color w:val="auto"/>
                <w:kern w:val="0"/>
                <w:sz w:val="24"/>
                <w:szCs w:val="24"/>
              </w:rPr>
              <w:t>现状</w:t>
            </w:r>
          </w:p>
        </w:tc>
        <w:tc>
          <w:tcPr>
            <w:tcW w:w="8820" w:type="dxa"/>
            <w:noWrap w:val="0"/>
            <w:vAlign w:val="center"/>
          </w:tcPr>
          <w:p w14:paraId="63424AC9">
            <w:pPr>
              <w:pStyle w:val="21"/>
              <w:keepNext w:val="0"/>
              <w:keepLines w:val="0"/>
              <w:pageBreakBefore w:val="0"/>
              <w:kinsoku/>
              <w:wordWrap/>
              <w:overflowPunct/>
              <w:topLinePunct w:val="0"/>
              <w:autoSpaceDE/>
              <w:autoSpaceDN/>
              <w:bidi w:val="0"/>
              <w:spacing w:before="157" w:beforeLines="50" w:line="360" w:lineRule="auto"/>
              <w:ind w:firstLine="472" w:firstLineChars="196"/>
              <w:textAlignment w:val="auto"/>
              <w:rPr>
                <w:b/>
                <w:color w:val="auto"/>
                <w:sz w:val="24"/>
                <w:lang w:val="en-US" w:eastAsia="zh-CN"/>
              </w:rPr>
            </w:pPr>
            <w:r>
              <w:rPr>
                <w:b/>
                <w:color w:val="auto"/>
                <w:sz w:val="24"/>
                <w:lang w:val="en-US" w:eastAsia="zh-CN"/>
              </w:rPr>
              <w:t>1、环境空气质量现状</w:t>
            </w:r>
          </w:p>
          <w:p w14:paraId="3E3947B6">
            <w:pPr>
              <w:keepNext w:val="0"/>
              <w:keepLines w:val="0"/>
              <w:pageBreakBefore w:val="0"/>
              <w:widowControl/>
              <w:kinsoku/>
              <w:wordWrap/>
              <w:overflowPunct/>
              <w:topLinePunct w:val="0"/>
              <w:autoSpaceDE/>
              <w:autoSpaceDN/>
              <w:bidi w:val="0"/>
              <w:adjustRightInd w:val="0"/>
              <w:snapToGrid w:val="0"/>
              <w:spacing w:before="157" w:beforeLines="50" w:line="360" w:lineRule="auto"/>
              <w:ind w:firstLine="480" w:firstLineChars="200"/>
              <w:textAlignment w:val="auto"/>
              <w:rPr>
                <w:color w:val="auto"/>
                <w:sz w:val="24"/>
              </w:rPr>
            </w:pPr>
            <w:r>
              <w:rPr>
                <w:rFonts w:hAnsi="宋体"/>
                <w:color w:val="auto"/>
                <w:sz w:val="24"/>
              </w:rPr>
              <w:t>根据大气功能区划分原则，项目所在区域为二类功能区，环境空气质量应执行《环境空气质量标准》（</w:t>
            </w:r>
            <w:r>
              <w:rPr>
                <w:color w:val="auto"/>
                <w:sz w:val="24"/>
              </w:rPr>
              <w:t>GB3095-</w:t>
            </w:r>
            <w:r>
              <w:rPr>
                <w:rFonts w:hint="eastAsia"/>
                <w:color w:val="auto"/>
                <w:sz w:val="24"/>
                <w:lang w:val="en-US" w:eastAsia="zh-CN"/>
              </w:rPr>
              <w:t>2026</w:t>
            </w:r>
            <w:r>
              <w:rPr>
                <w:rFonts w:hAnsi="宋体"/>
                <w:color w:val="auto"/>
                <w:sz w:val="24"/>
              </w:rPr>
              <w:t>）二级标准。根据新乡市生态环境局发布的《新乡市</w:t>
            </w:r>
            <w:r>
              <w:rPr>
                <w:rFonts w:hint="eastAsia" w:hAnsi="宋体"/>
                <w:color w:val="auto"/>
                <w:sz w:val="24"/>
                <w:lang w:val="en-US" w:eastAsia="zh-CN"/>
              </w:rPr>
              <w:t>2024</w:t>
            </w:r>
            <w:r>
              <w:rPr>
                <w:rFonts w:hAnsi="宋体"/>
                <w:color w:val="auto"/>
                <w:sz w:val="24"/>
              </w:rPr>
              <w:t>年环境质量年报》，</w:t>
            </w:r>
            <w:r>
              <w:rPr>
                <w:rFonts w:hint="eastAsia" w:hAnsi="宋体"/>
                <w:color w:val="auto"/>
                <w:sz w:val="24"/>
                <w:lang w:val="en-US" w:eastAsia="zh-CN"/>
              </w:rPr>
              <w:t>项目</w:t>
            </w:r>
            <w:r>
              <w:rPr>
                <w:rFonts w:hAnsi="宋体"/>
                <w:color w:val="auto"/>
                <w:sz w:val="24"/>
              </w:rPr>
              <w:t>区域空气质量现状数据如下表所示。</w:t>
            </w:r>
          </w:p>
          <w:p w14:paraId="61DCFA59">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eastAsia="黑体" w:cs="Times New Roman"/>
                <w:bCs/>
                <w:color w:val="auto"/>
                <w:kern w:val="2"/>
                <w:sz w:val="24"/>
                <w:szCs w:val="24"/>
                <w:lang w:val="en-US" w:eastAsia="zh-CN" w:bidi="ar-SA"/>
              </w:rPr>
            </w:pPr>
            <w:r>
              <w:rPr>
                <w:rFonts w:hint="default" w:ascii="Times New Roman" w:hAnsi="Times New Roman" w:eastAsia="黑体" w:cs="Times New Roman"/>
                <w:bCs/>
                <w:color w:val="auto"/>
                <w:kern w:val="2"/>
                <w:sz w:val="24"/>
                <w:szCs w:val="24"/>
                <w:lang w:val="en-US" w:eastAsia="zh-CN" w:bidi="ar-SA"/>
              </w:rPr>
              <w:t>表</w:t>
            </w:r>
            <w:r>
              <w:rPr>
                <w:rFonts w:hint="eastAsia" w:ascii="Times New Roman" w:hAnsi="Times New Roman" w:eastAsia="黑体" w:cs="Times New Roman"/>
                <w:bCs/>
                <w:color w:val="auto"/>
                <w:kern w:val="2"/>
                <w:sz w:val="24"/>
                <w:szCs w:val="24"/>
                <w:lang w:val="en-US" w:eastAsia="zh-CN" w:bidi="ar-SA"/>
              </w:rPr>
              <w:t>12</w:t>
            </w:r>
            <w:r>
              <w:rPr>
                <w:rFonts w:hint="default" w:ascii="Times New Roman" w:hAnsi="Times New Roman" w:eastAsia="黑体" w:cs="Times New Roman"/>
                <w:bCs/>
                <w:color w:val="auto"/>
                <w:kern w:val="2"/>
                <w:sz w:val="24"/>
                <w:szCs w:val="24"/>
                <w:lang w:val="en-US" w:eastAsia="zh-CN" w:bidi="ar-SA"/>
              </w:rPr>
              <w:t xml:space="preserve">     区域空气质量现状评价表</w:t>
            </w:r>
          </w:p>
          <w:tbl>
            <w:tblPr>
              <w:tblStyle w:val="17"/>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57" w:type="dxa"/>
                <w:left w:w="108" w:type="dxa"/>
                <w:bottom w:w="57" w:type="dxa"/>
                <w:right w:w="108" w:type="dxa"/>
              </w:tblCellMar>
            </w:tblPr>
            <w:tblGrid>
              <w:gridCol w:w="796"/>
              <w:gridCol w:w="744"/>
              <w:gridCol w:w="1117"/>
              <w:gridCol w:w="1149"/>
              <w:gridCol w:w="898"/>
              <w:gridCol w:w="950"/>
              <w:gridCol w:w="1117"/>
              <w:gridCol w:w="921"/>
              <w:gridCol w:w="912"/>
            </w:tblGrid>
            <w:tr w14:paraId="5A01CF9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vMerge w:val="restart"/>
                  <w:tcBorders>
                    <w:top w:val="single" w:color="auto" w:sz="8" w:space="0"/>
                    <w:left w:val="nil"/>
                    <w:right w:val="single" w:color="auto" w:sz="4" w:space="0"/>
                  </w:tcBorders>
                  <w:noWrap w:val="0"/>
                  <w:tcMar>
                    <w:top w:w="57" w:type="dxa"/>
                    <w:left w:w="85" w:type="dxa"/>
                    <w:bottom w:w="57" w:type="dxa"/>
                    <w:right w:w="85" w:type="dxa"/>
                  </w:tcMar>
                  <w:vAlign w:val="center"/>
                </w:tcPr>
                <w:p w14:paraId="0DC9CC62">
                  <w:pPr>
                    <w:autoSpaceDE w:val="0"/>
                    <w:autoSpaceDN w:val="0"/>
                    <w:adjustRightInd w:val="0"/>
                    <w:snapToGrid w:val="0"/>
                    <w:jc w:val="center"/>
                    <w:rPr>
                      <w:rFonts w:hint="eastAsia" w:eastAsia="宋体"/>
                      <w:b/>
                      <w:bCs/>
                      <w:color w:val="auto"/>
                      <w:szCs w:val="21"/>
                      <w:lang w:val="en-US" w:eastAsia="zh-CN"/>
                    </w:rPr>
                  </w:pPr>
                  <w:r>
                    <w:rPr>
                      <w:rFonts w:hint="eastAsia"/>
                      <w:b/>
                      <w:bCs/>
                      <w:color w:val="auto"/>
                      <w:szCs w:val="21"/>
                      <w:lang w:val="en-US" w:eastAsia="zh-CN"/>
                    </w:rPr>
                    <w:t>污染物</w:t>
                  </w:r>
                </w:p>
              </w:tc>
              <w:tc>
                <w:tcPr>
                  <w:tcW w:w="758" w:type="dxa"/>
                  <w:vMerge w:val="restart"/>
                  <w:tcBorders>
                    <w:top w:val="single" w:color="auto" w:sz="8" w:space="0"/>
                    <w:left w:val="single" w:color="auto" w:sz="4" w:space="0"/>
                    <w:right w:val="single" w:color="auto" w:sz="4" w:space="0"/>
                  </w:tcBorders>
                  <w:noWrap w:val="0"/>
                  <w:tcMar>
                    <w:top w:w="57" w:type="dxa"/>
                    <w:left w:w="85" w:type="dxa"/>
                    <w:bottom w:w="57" w:type="dxa"/>
                    <w:right w:w="85" w:type="dxa"/>
                  </w:tcMar>
                  <w:vAlign w:val="center"/>
                </w:tcPr>
                <w:p w14:paraId="4467EF20">
                  <w:pPr>
                    <w:autoSpaceDE w:val="0"/>
                    <w:autoSpaceDN w:val="0"/>
                    <w:adjustRightInd w:val="0"/>
                    <w:snapToGrid w:val="0"/>
                    <w:jc w:val="center"/>
                    <w:rPr>
                      <w:rFonts w:hint="default" w:eastAsia="宋体"/>
                      <w:b/>
                      <w:bCs/>
                      <w:color w:val="auto"/>
                      <w:szCs w:val="21"/>
                      <w:lang w:val="en-US" w:eastAsia="zh-CN"/>
                    </w:rPr>
                  </w:pPr>
                  <w:r>
                    <w:rPr>
                      <w:rFonts w:hint="eastAsia"/>
                      <w:b/>
                      <w:bCs/>
                      <w:color w:val="auto"/>
                      <w:szCs w:val="21"/>
                      <w:lang w:val="en-US" w:eastAsia="zh-CN"/>
                    </w:rPr>
                    <w:t>年评价指标</w:t>
                  </w:r>
                </w:p>
              </w:tc>
              <w:tc>
                <w:tcPr>
                  <w:tcW w:w="1073" w:type="dxa"/>
                  <w:vMerge w:val="restart"/>
                  <w:tcBorders>
                    <w:top w:val="single" w:color="auto" w:sz="8" w:space="0"/>
                    <w:left w:val="single" w:color="auto" w:sz="4" w:space="0"/>
                    <w:right w:val="single" w:color="auto" w:sz="4" w:space="0"/>
                  </w:tcBorders>
                  <w:noWrap w:val="0"/>
                  <w:tcMar>
                    <w:top w:w="57" w:type="dxa"/>
                    <w:left w:w="85" w:type="dxa"/>
                    <w:bottom w:w="57" w:type="dxa"/>
                    <w:right w:w="85" w:type="dxa"/>
                  </w:tcMar>
                  <w:vAlign w:val="center"/>
                </w:tcPr>
                <w:p w14:paraId="657CEE7B">
                  <w:pPr>
                    <w:autoSpaceDE w:val="0"/>
                    <w:autoSpaceDN w:val="0"/>
                    <w:adjustRightInd w:val="0"/>
                    <w:snapToGrid w:val="0"/>
                    <w:jc w:val="center"/>
                    <w:rPr>
                      <w:rFonts w:hint="default" w:eastAsia="宋体"/>
                      <w:b/>
                      <w:bCs/>
                      <w:color w:val="auto"/>
                      <w:szCs w:val="21"/>
                      <w:lang w:val="en-US" w:eastAsia="zh-CN"/>
                    </w:rPr>
                  </w:pPr>
                  <w:r>
                    <w:rPr>
                      <w:rFonts w:hint="eastAsia"/>
                      <w:b/>
                      <w:bCs/>
                      <w:color w:val="auto"/>
                      <w:szCs w:val="21"/>
                      <w:lang w:val="en-US" w:eastAsia="zh-CN"/>
                    </w:rPr>
                    <w:t>现状浓度/</w:t>
                  </w:r>
                  <w:r>
                    <w:rPr>
                      <w:rFonts w:hint="default"/>
                      <w:b/>
                      <w:bCs/>
                      <w:color w:val="auto"/>
                      <w:kern w:val="2"/>
                      <w:sz w:val="21"/>
                    </w:rPr>
                    <w:t>（μg/</w:t>
                  </w:r>
                  <w:r>
                    <w:rPr>
                      <w:rFonts w:hint="eastAsia"/>
                      <w:b/>
                      <w:bCs/>
                      <w:color w:val="auto"/>
                      <w:kern w:val="2"/>
                      <w:sz w:val="21"/>
                      <w:lang w:val="en-US" w:eastAsia="zh-CN"/>
                    </w:rPr>
                    <w:t>m</w:t>
                  </w:r>
                  <w:r>
                    <w:rPr>
                      <w:rFonts w:hint="eastAsia"/>
                      <w:b/>
                      <w:bCs/>
                      <w:color w:val="auto"/>
                      <w:kern w:val="2"/>
                      <w:sz w:val="21"/>
                      <w:vertAlign w:val="superscript"/>
                      <w:lang w:val="en-US" w:eastAsia="zh-CN"/>
                    </w:rPr>
                    <w:t>3</w:t>
                  </w:r>
                  <w:r>
                    <w:rPr>
                      <w:rFonts w:hint="default"/>
                      <w:b/>
                      <w:bCs/>
                      <w:color w:val="auto"/>
                      <w:kern w:val="2"/>
                      <w:sz w:val="21"/>
                    </w:rPr>
                    <w:t>）</w:t>
                  </w:r>
                </w:p>
              </w:tc>
              <w:tc>
                <w:tcPr>
                  <w:tcW w:w="3030" w:type="dxa"/>
                  <w:gridSpan w:val="3"/>
                  <w:tcBorders>
                    <w:top w:val="single" w:color="auto" w:sz="8"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57555370">
                  <w:pPr>
                    <w:autoSpaceDE w:val="0"/>
                    <w:autoSpaceDN w:val="0"/>
                    <w:adjustRightInd w:val="0"/>
                    <w:snapToGrid w:val="0"/>
                    <w:jc w:val="center"/>
                    <w:rPr>
                      <w:rFonts w:hint="eastAsia"/>
                      <w:b/>
                      <w:bCs/>
                      <w:color w:val="auto"/>
                      <w:szCs w:val="21"/>
                      <w:lang w:val="en-US" w:eastAsia="zh-CN"/>
                    </w:rPr>
                  </w:pPr>
                  <w:r>
                    <w:rPr>
                      <w:rFonts w:hint="eastAsia"/>
                      <w:b/>
                      <w:bCs/>
                      <w:color w:val="auto"/>
                      <w:szCs w:val="21"/>
                      <w:lang w:eastAsia="zh-CN"/>
                    </w:rPr>
                    <w:t>（</w:t>
                  </w:r>
                  <w:r>
                    <w:rPr>
                      <w:rFonts w:hint="eastAsia"/>
                      <w:b/>
                      <w:bCs/>
                      <w:color w:val="auto"/>
                      <w:szCs w:val="21"/>
                      <w:lang w:val="en-US" w:eastAsia="zh-CN"/>
                    </w:rPr>
                    <w:t>GB3095-2012</w:t>
                  </w:r>
                  <w:r>
                    <w:rPr>
                      <w:rFonts w:hint="eastAsia"/>
                      <w:b/>
                      <w:bCs/>
                      <w:color w:val="auto"/>
                      <w:szCs w:val="21"/>
                      <w:lang w:eastAsia="zh-CN"/>
                    </w:rPr>
                    <w:t>）</w:t>
                  </w:r>
                  <w:r>
                    <w:rPr>
                      <w:rFonts w:hint="eastAsia"/>
                      <w:b/>
                      <w:bCs/>
                      <w:color w:val="auto"/>
                      <w:szCs w:val="21"/>
                      <w:lang w:val="en-US" w:eastAsia="zh-CN"/>
                    </w:rPr>
                    <w:t>二级标准</w:t>
                  </w:r>
                </w:p>
                <w:p w14:paraId="02AA5A18">
                  <w:pPr>
                    <w:pStyle w:val="10"/>
                    <w:rPr>
                      <w:color w:val="auto"/>
                    </w:rPr>
                  </w:pPr>
                  <w:r>
                    <w:rPr>
                      <w:rFonts w:hint="eastAsia"/>
                      <w:b/>
                      <w:bCs/>
                      <w:color w:val="auto"/>
                      <w:szCs w:val="21"/>
                      <w:lang w:val="en-US" w:eastAsia="zh-CN"/>
                    </w:rPr>
                    <w:t>（2026.3.1废止）</w:t>
                  </w:r>
                </w:p>
              </w:tc>
              <w:tc>
                <w:tcPr>
                  <w:tcW w:w="2902" w:type="dxa"/>
                  <w:gridSpan w:val="3"/>
                  <w:tcBorders>
                    <w:top w:val="single" w:color="auto" w:sz="8" w:space="0"/>
                    <w:left w:val="single" w:color="auto" w:sz="4" w:space="0"/>
                    <w:bottom w:val="single" w:color="auto" w:sz="4" w:space="0"/>
                    <w:right w:val="nil"/>
                  </w:tcBorders>
                  <w:noWrap w:val="0"/>
                  <w:tcMar>
                    <w:top w:w="57" w:type="dxa"/>
                    <w:left w:w="85" w:type="dxa"/>
                    <w:bottom w:w="57" w:type="dxa"/>
                    <w:right w:w="85" w:type="dxa"/>
                  </w:tcMar>
                  <w:vAlign w:val="center"/>
                </w:tcPr>
                <w:p w14:paraId="550E2C75">
                  <w:pPr>
                    <w:autoSpaceDE w:val="0"/>
                    <w:autoSpaceDN w:val="0"/>
                    <w:adjustRightInd w:val="0"/>
                    <w:snapToGrid w:val="0"/>
                    <w:jc w:val="center"/>
                    <w:rPr>
                      <w:rFonts w:hint="eastAsia" w:eastAsia="宋体"/>
                      <w:b/>
                      <w:bCs/>
                      <w:color w:val="auto"/>
                      <w:szCs w:val="21"/>
                      <w:lang w:eastAsia="zh-CN"/>
                    </w:rPr>
                  </w:pPr>
                  <w:r>
                    <w:rPr>
                      <w:rFonts w:hint="eastAsia"/>
                      <w:b/>
                      <w:bCs/>
                      <w:color w:val="auto"/>
                      <w:szCs w:val="21"/>
                      <w:lang w:eastAsia="zh-CN"/>
                    </w:rPr>
                    <w:t>（</w:t>
                  </w:r>
                  <w:r>
                    <w:rPr>
                      <w:rFonts w:hint="eastAsia"/>
                      <w:b/>
                      <w:bCs/>
                      <w:color w:val="auto"/>
                      <w:szCs w:val="21"/>
                      <w:lang w:val="en-US" w:eastAsia="zh-CN"/>
                    </w:rPr>
                    <w:t>GB3095-22026</w:t>
                  </w:r>
                  <w:r>
                    <w:rPr>
                      <w:rFonts w:hint="eastAsia"/>
                      <w:b/>
                      <w:bCs/>
                      <w:color w:val="auto"/>
                      <w:szCs w:val="21"/>
                      <w:lang w:eastAsia="zh-CN"/>
                    </w:rPr>
                    <w:t>）</w:t>
                  </w:r>
                  <w:r>
                    <w:rPr>
                      <w:rFonts w:hint="eastAsia"/>
                      <w:b/>
                      <w:bCs/>
                      <w:color w:val="auto"/>
                      <w:szCs w:val="21"/>
                      <w:lang w:val="en-US" w:eastAsia="zh-CN"/>
                    </w:rPr>
                    <w:t>二级标准（2026.3.1实施）</w:t>
                  </w:r>
                </w:p>
              </w:tc>
            </w:tr>
            <w:tr w14:paraId="14B90B8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vMerge w:val="continue"/>
                  <w:tcBorders>
                    <w:left w:val="nil"/>
                    <w:bottom w:val="single" w:color="auto" w:sz="8" w:space="0"/>
                    <w:right w:val="single" w:color="auto" w:sz="4" w:space="0"/>
                  </w:tcBorders>
                  <w:noWrap w:val="0"/>
                  <w:tcMar>
                    <w:top w:w="57" w:type="dxa"/>
                    <w:left w:w="85" w:type="dxa"/>
                    <w:bottom w:w="57" w:type="dxa"/>
                    <w:right w:w="85" w:type="dxa"/>
                  </w:tcMar>
                  <w:vAlign w:val="center"/>
                </w:tcPr>
                <w:p w14:paraId="6D895EF3">
                  <w:pPr>
                    <w:autoSpaceDE w:val="0"/>
                    <w:autoSpaceDN w:val="0"/>
                    <w:adjustRightInd w:val="0"/>
                    <w:snapToGrid w:val="0"/>
                    <w:jc w:val="center"/>
                    <w:rPr>
                      <w:rFonts w:hint="eastAsia"/>
                      <w:b/>
                      <w:bCs/>
                      <w:color w:val="auto"/>
                      <w:szCs w:val="21"/>
                      <w:lang w:val="en-US" w:eastAsia="zh-CN"/>
                    </w:rPr>
                  </w:pPr>
                </w:p>
              </w:tc>
              <w:tc>
                <w:tcPr>
                  <w:tcW w:w="758" w:type="dxa"/>
                  <w:vMerge w:val="continue"/>
                  <w:tcBorders>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6FCC942E">
                  <w:pPr>
                    <w:autoSpaceDE w:val="0"/>
                    <w:autoSpaceDN w:val="0"/>
                    <w:adjustRightInd w:val="0"/>
                    <w:snapToGrid w:val="0"/>
                    <w:jc w:val="center"/>
                    <w:rPr>
                      <w:rFonts w:hint="eastAsia"/>
                      <w:b/>
                      <w:bCs/>
                      <w:color w:val="auto"/>
                      <w:szCs w:val="21"/>
                      <w:lang w:val="en-US" w:eastAsia="zh-CN"/>
                    </w:rPr>
                  </w:pPr>
                </w:p>
              </w:tc>
              <w:tc>
                <w:tcPr>
                  <w:tcW w:w="1073" w:type="dxa"/>
                  <w:vMerge w:val="continue"/>
                  <w:tcBorders>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5E3A568A">
                  <w:pPr>
                    <w:autoSpaceDE w:val="0"/>
                    <w:autoSpaceDN w:val="0"/>
                    <w:adjustRightInd w:val="0"/>
                    <w:snapToGrid w:val="0"/>
                    <w:jc w:val="center"/>
                    <w:rPr>
                      <w:rFonts w:hint="eastAsia"/>
                      <w:b/>
                      <w:bCs/>
                      <w:color w:val="auto"/>
                      <w:szCs w:val="21"/>
                      <w:lang w:val="en-US" w:eastAsia="zh-CN"/>
                    </w:rPr>
                  </w:pPr>
                </w:p>
              </w:tc>
              <w:tc>
                <w:tcPr>
                  <w:tcW w:w="1150" w:type="dxa"/>
                  <w:tcBorders>
                    <w:top w:val="single" w:color="auto" w:sz="8"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7DDCB8B6">
                  <w:pPr>
                    <w:autoSpaceDE w:val="0"/>
                    <w:autoSpaceDN w:val="0"/>
                    <w:adjustRightInd w:val="0"/>
                    <w:snapToGrid w:val="0"/>
                    <w:jc w:val="center"/>
                    <w:rPr>
                      <w:rFonts w:hint="default"/>
                      <w:b/>
                      <w:bCs/>
                      <w:color w:val="auto"/>
                      <w:szCs w:val="21"/>
                      <w:lang w:val="en-US" w:eastAsia="zh-CN"/>
                    </w:rPr>
                  </w:pPr>
                  <w:r>
                    <w:rPr>
                      <w:rFonts w:hint="eastAsia"/>
                      <w:b/>
                      <w:bCs/>
                      <w:color w:val="auto"/>
                      <w:szCs w:val="21"/>
                      <w:lang w:val="en-US" w:eastAsia="zh-CN"/>
                    </w:rPr>
                    <w:t>标准值（</w:t>
                  </w:r>
                  <w:r>
                    <w:rPr>
                      <w:rFonts w:hint="default"/>
                      <w:b/>
                      <w:bCs/>
                      <w:color w:val="auto"/>
                      <w:kern w:val="2"/>
                      <w:sz w:val="21"/>
                    </w:rPr>
                    <w:t>μg/</w:t>
                  </w:r>
                  <w:r>
                    <w:rPr>
                      <w:rFonts w:hint="eastAsia"/>
                      <w:b/>
                      <w:bCs/>
                      <w:color w:val="auto"/>
                      <w:szCs w:val="21"/>
                      <w:lang w:val="en-US" w:eastAsia="zh-CN"/>
                    </w:rPr>
                    <w:t>m</w:t>
                  </w:r>
                  <w:r>
                    <w:rPr>
                      <w:rFonts w:hint="eastAsia"/>
                      <w:b/>
                      <w:bCs/>
                      <w:color w:val="auto"/>
                      <w:szCs w:val="21"/>
                      <w:vertAlign w:val="superscript"/>
                      <w:lang w:val="en-US" w:eastAsia="zh-CN"/>
                    </w:rPr>
                    <w:t>3</w:t>
                  </w:r>
                  <w:r>
                    <w:rPr>
                      <w:rFonts w:hint="eastAsia"/>
                      <w:b/>
                      <w:bCs/>
                      <w:color w:val="auto"/>
                      <w:szCs w:val="21"/>
                      <w:lang w:val="en-US" w:eastAsia="zh-CN"/>
                    </w:rPr>
                    <w:t>）</w:t>
                  </w:r>
                </w:p>
              </w:tc>
              <w:tc>
                <w:tcPr>
                  <w:tcW w:w="908" w:type="dxa"/>
                  <w:tcBorders>
                    <w:top w:val="single" w:color="auto" w:sz="8" w:space="0"/>
                    <w:left w:val="single" w:color="auto" w:sz="4" w:space="0"/>
                    <w:bottom w:val="single" w:color="auto" w:sz="4" w:space="0"/>
                    <w:right w:val="nil"/>
                  </w:tcBorders>
                  <w:noWrap w:val="0"/>
                  <w:tcMar>
                    <w:top w:w="57" w:type="dxa"/>
                    <w:left w:w="85" w:type="dxa"/>
                    <w:bottom w:w="57" w:type="dxa"/>
                    <w:right w:w="85" w:type="dxa"/>
                  </w:tcMar>
                  <w:vAlign w:val="center"/>
                </w:tcPr>
                <w:p w14:paraId="32A4874B">
                  <w:pPr>
                    <w:autoSpaceDE w:val="0"/>
                    <w:autoSpaceDN w:val="0"/>
                    <w:adjustRightInd w:val="0"/>
                    <w:snapToGrid w:val="0"/>
                    <w:jc w:val="center"/>
                    <w:rPr>
                      <w:rFonts w:hint="default"/>
                      <w:b/>
                      <w:bCs/>
                      <w:color w:val="auto"/>
                      <w:szCs w:val="21"/>
                      <w:lang w:val="en-US" w:eastAsia="zh-CN"/>
                    </w:rPr>
                  </w:pPr>
                  <w:r>
                    <w:rPr>
                      <w:rFonts w:hint="eastAsia"/>
                      <w:b/>
                      <w:bCs/>
                      <w:color w:val="auto"/>
                      <w:szCs w:val="21"/>
                      <w:lang w:val="en-US" w:eastAsia="zh-CN"/>
                    </w:rPr>
                    <w:t>占标率/%</w:t>
                  </w:r>
                </w:p>
              </w:tc>
              <w:tc>
                <w:tcPr>
                  <w:tcW w:w="972" w:type="dxa"/>
                  <w:tcBorders>
                    <w:top w:val="single" w:color="auto" w:sz="8"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60BA384A">
                  <w:pPr>
                    <w:autoSpaceDE w:val="0"/>
                    <w:autoSpaceDN w:val="0"/>
                    <w:adjustRightInd w:val="0"/>
                    <w:snapToGrid w:val="0"/>
                    <w:jc w:val="center"/>
                    <w:rPr>
                      <w:rFonts w:hint="eastAsia"/>
                      <w:b/>
                      <w:bCs/>
                      <w:color w:val="auto"/>
                      <w:szCs w:val="21"/>
                      <w:lang w:val="en-US" w:eastAsia="zh-CN"/>
                    </w:rPr>
                  </w:pPr>
                  <w:r>
                    <w:rPr>
                      <w:rFonts w:hint="eastAsia"/>
                      <w:b/>
                      <w:bCs/>
                      <w:color w:val="auto"/>
                      <w:szCs w:val="21"/>
                      <w:lang w:val="en-US" w:eastAsia="zh-CN"/>
                    </w:rPr>
                    <w:t>达标</w:t>
                  </w:r>
                </w:p>
                <w:p w14:paraId="018393AA">
                  <w:pPr>
                    <w:autoSpaceDE w:val="0"/>
                    <w:autoSpaceDN w:val="0"/>
                    <w:adjustRightInd w:val="0"/>
                    <w:snapToGrid w:val="0"/>
                    <w:jc w:val="center"/>
                    <w:rPr>
                      <w:rFonts w:hint="default"/>
                      <w:b/>
                      <w:bCs/>
                      <w:color w:val="auto"/>
                      <w:szCs w:val="21"/>
                      <w:lang w:val="en-US" w:eastAsia="zh-CN"/>
                    </w:rPr>
                  </w:pPr>
                  <w:r>
                    <w:rPr>
                      <w:rFonts w:hint="eastAsia"/>
                      <w:b/>
                      <w:bCs/>
                      <w:color w:val="auto"/>
                      <w:szCs w:val="21"/>
                      <w:lang w:val="en-US" w:eastAsia="zh-CN"/>
                    </w:rPr>
                    <w:t>情况</w:t>
                  </w:r>
                </w:p>
              </w:tc>
              <w:tc>
                <w:tcPr>
                  <w:tcW w:w="1038" w:type="dxa"/>
                  <w:tcBorders>
                    <w:top w:val="single" w:color="auto" w:sz="8"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429B5E44">
                  <w:pPr>
                    <w:autoSpaceDE w:val="0"/>
                    <w:autoSpaceDN w:val="0"/>
                    <w:adjustRightInd w:val="0"/>
                    <w:snapToGrid w:val="0"/>
                    <w:jc w:val="center"/>
                    <w:rPr>
                      <w:rFonts w:hint="default"/>
                      <w:b/>
                      <w:bCs/>
                      <w:color w:val="auto"/>
                      <w:szCs w:val="21"/>
                      <w:lang w:val="en-US" w:eastAsia="zh-CN"/>
                    </w:rPr>
                  </w:pPr>
                  <w:r>
                    <w:rPr>
                      <w:rFonts w:hint="eastAsia"/>
                      <w:b/>
                      <w:bCs/>
                      <w:color w:val="auto"/>
                      <w:szCs w:val="21"/>
                      <w:lang w:val="en-US" w:eastAsia="zh-CN"/>
                    </w:rPr>
                    <w:t>过度阶段标准值/（</w:t>
                  </w:r>
                  <w:r>
                    <w:rPr>
                      <w:rFonts w:hint="default"/>
                      <w:b/>
                      <w:bCs/>
                      <w:color w:val="auto"/>
                      <w:kern w:val="2"/>
                      <w:sz w:val="21"/>
                    </w:rPr>
                    <w:t>μg/</w:t>
                  </w:r>
                  <w:r>
                    <w:rPr>
                      <w:rFonts w:hint="eastAsia"/>
                      <w:b/>
                      <w:bCs/>
                      <w:color w:val="auto"/>
                      <w:szCs w:val="21"/>
                      <w:lang w:val="en-US" w:eastAsia="zh-CN"/>
                    </w:rPr>
                    <w:t>m</w:t>
                  </w:r>
                  <w:r>
                    <w:rPr>
                      <w:rFonts w:hint="eastAsia"/>
                      <w:b/>
                      <w:bCs/>
                      <w:color w:val="auto"/>
                      <w:szCs w:val="21"/>
                      <w:vertAlign w:val="superscript"/>
                      <w:lang w:val="en-US" w:eastAsia="zh-CN"/>
                    </w:rPr>
                    <w:t>3</w:t>
                  </w:r>
                  <w:r>
                    <w:rPr>
                      <w:rFonts w:hint="eastAsia"/>
                      <w:b/>
                      <w:bCs/>
                      <w:color w:val="auto"/>
                      <w:szCs w:val="21"/>
                      <w:lang w:val="en-US" w:eastAsia="zh-CN"/>
                    </w:rPr>
                    <w:t>）</w:t>
                  </w:r>
                </w:p>
              </w:tc>
              <w:tc>
                <w:tcPr>
                  <w:tcW w:w="932" w:type="dxa"/>
                  <w:tcBorders>
                    <w:top w:val="single" w:color="auto" w:sz="8" w:space="0"/>
                    <w:left w:val="single" w:color="auto" w:sz="4" w:space="0"/>
                    <w:bottom w:val="single" w:color="auto" w:sz="8" w:space="0"/>
                    <w:right w:val="single" w:color="auto" w:sz="4" w:space="0"/>
                  </w:tcBorders>
                  <w:shd w:val="clear" w:color="auto" w:fill="auto"/>
                  <w:noWrap w:val="0"/>
                  <w:tcMar>
                    <w:top w:w="57" w:type="dxa"/>
                    <w:left w:w="85" w:type="dxa"/>
                    <w:bottom w:w="57" w:type="dxa"/>
                    <w:right w:w="85" w:type="dxa"/>
                  </w:tcMar>
                  <w:vAlign w:val="center"/>
                </w:tcPr>
                <w:p w14:paraId="56F733B3">
                  <w:pPr>
                    <w:autoSpaceDE w:val="0"/>
                    <w:autoSpaceDN w:val="0"/>
                    <w:adjustRightInd w:val="0"/>
                    <w:snapToGrid w:val="0"/>
                    <w:jc w:val="center"/>
                    <w:rPr>
                      <w:rFonts w:hint="eastAsia" w:ascii="Times New Roman" w:hAnsi="Times New Roman" w:eastAsia="宋体" w:cs="Times New Roman"/>
                      <w:b/>
                      <w:bCs/>
                      <w:color w:val="auto"/>
                      <w:kern w:val="2"/>
                      <w:sz w:val="21"/>
                      <w:szCs w:val="21"/>
                      <w:lang w:val="en-US" w:eastAsia="zh-CN" w:bidi="ar-SA"/>
                    </w:rPr>
                  </w:pPr>
                  <w:r>
                    <w:rPr>
                      <w:rFonts w:hint="eastAsia"/>
                      <w:b/>
                      <w:bCs/>
                      <w:color w:val="auto"/>
                      <w:szCs w:val="21"/>
                      <w:lang w:val="en-US" w:eastAsia="zh-CN"/>
                    </w:rPr>
                    <w:t>占标率/%</w:t>
                  </w:r>
                </w:p>
              </w:tc>
              <w:tc>
                <w:tcPr>
                  <w:tcW w:w="932" w:type="dxa"/>
                  <w:tcBorders>
                    <w:top w:val="single" w:color="auto" w:sz="8" w:space="0"/>
                    <w:left w:val="single" w:color="auto" w:sz="4" w:space="0"/>
                    <w:bottom w:val="single" w:color="auto" w:sz="8" w:space="0"/>
                    <w:right w:val="single" w:color="auto" w:sz="4" w:space="0"/>
                  </w:tcBorders>
                  <w:shd w:val="clear" w:color="auto" w:fill="auto"/>
                  <w:noWrap w:val="0"/>
                  <w:tcMar>
                    <w:top w:w="57" w:type="dxa"/>
                    <w:left w:w="85" w:type="dxa"/>
                    <w:bottom w:w="57" w:type="dxa"/>
                    <w:right w:w="85" w:type="dxa"/>
                  </w:tcMar>
                  <w:vAlign w:val="center"/>
                </w:tcPr>
                <w:p w14:paraId="3AC0EB1B">
                  <w:pPr>
                    <w:autoSpaceDE w:val="0"/>
                    <w:autoSpaceDN w:val="0"/>
                    <w:adjustRightInd w:val="0"/>
                    <w:snapToGrid w:val="0"/>
                    <w:jc w:val="center"/>
                    <w:rPr>
                      <w:rFonts w:hint="eastAsia"/>
                      <w:b/>
                      <w:bCs/>
                      <w:color w:val="auto"/>
                      <w:szCs w:val="21"/>
                      <w:lang w:val="en-US" w:eastAsia="zh-CN"/>
                    </w:rPr>
                  </w:pPr>
                  <w:r>
                    <w:rPr>
                      <w:rFonts w:hint="eastAsia"/>
                      <w:b/>
                      <w:bCs/>
                      <w:color w:val="auto"/>
                      <w:szCs w:val="21"/>
                      <w:lang w:val="en-US" w:eastAsia="zh-CN"/>
                    </w:rPr>
                    <w:t>达标</w:t>
                  </w:r>
                </w:p>
                <w:p w14:paraId="1CD93C87">
                  <w:pPr>
                    <w:autoSpaceDE w:val="0"/>
                    <w:autoSpaceDN w:val="0"/>
                    <w:adjustRightInd w:val="0"/>
                    <w:snapToGrid w:val="0"/>
                    <w:jc w:val="center"/>
                    <w:rPr>
                      <w:rFonts w:hint="eastAsia" w:ascii="Times New Roman" w:hAnsi="Times New Roman" w:eastAsia="宋体" w:cs="Times New Roman"/>
                      <w:b/>
                      <w:bCs/>
                      <w:color w:val="auto"/>
                      <w:kern w:val="2"/>
                      <w:sz w:val="21"/>
                      <w:szCs w:val="21"/>
                      <w:lang w:val="en-US" w:eastAsia="zh-CN" w:bidi="ar-SA"/>
                    </w:rPr>
                  </w:pPr>
                  <w:r>
                    <w:rPr>
                      <w:rFonts w:hint="eastAsia"/>
                      <w:b/>
                      <w:bCs/>
                      <w:color w:val="auto"/>
                      <w:szCs w:val="21"/>
                      <w:lang w:val="en-US" w:eastAsia="zh-CN"/>
                    </w:rPr>
                    <w:t>情况</w:t>
                  </w:r>
                </w:p>
              </w:tc>
            </w:tr>
            <w:tr w14:paraId="6ED6187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tcBorders>
                    <w:top w:val="single" w:color="auto" w:sz="8" w:space="0"/>
                    <w:left w:val="nil"/>
                    <w:bottom w:val="single" w:color="auto" w:sz="4" w:space="0"/>
                    <w:right w:val="single" w:color="auto" w:sz="4" w:space="0"/>
                  </w:tcBorders>
                  <w:noWrap w:val="0"/>
                  <w:tcMar>
                    <w:top w:w="57" w:type="dxa"/>
                    <w:left w:w="85" w:type="dxa"/>
                    <w:bottom w:w="57" w:type="dxa"/>
                    <w:right w:w="85" w:type="dxa"/>
                  </w:tcMar>
                  <w:vAlign w:val="center"/>
                </w:tcPr>
                <w:p w14:paraId="2A5E7AEA">
                  <w:pPr>
                    <w:adjustRightInd w:val="0"/>
                    <w:snapToGrid w:val="0"/>
                    <w:jc w:val="center"/>
                    <w:rPr>
                      <w:rFonts w:hint="default" w:eastAsia="宋体"/>
                      <w:color w:val="auto"/>
                      <w:szCs w:val="21"/>
                      <w:lang w:val="en-US" w:eastAsia="zh-CN"/>
                    </w:rPr>
                  </w:pPr>
                  <w:r>
                    <w:rPr>
                      <w:rFonts w:hint="eastAsia"/>
                      <w:color w:val="auto"/>
                      <w:szCs w:val="21"/>
                      <w:lang w:val="en-US" w:eastAsia="zh-CN"/>
                    </w:rPr>
                    <w:t>PM</w:t>
                  </w:r>
                  <w:r>
                    <w:rPr>
                      <w:rFonts w:hint="eastAsia"/>
                      <w:color w:val="auto"/>
                      <w:szCs w:val="21"/>
                      <w:vertAlign w:val="subscript"/>
                      <w:lang w:val="en-US" w:eastAsia="zh-CN"/>
                    </w:rPr>
                    <w:t>10</w:t>
                  </w:r>
                </w:p>
              </w:tc>
              <w:tc>
                <w:tcPr>
                  <w:tcW w:w="758" w:type="dxa"/>
                  <w:vMerge w:val="restart"/>
                  <w:tcBorders>
                    <w:top w:val="single" w:color="auto" w:sz="8" w:space="0"/>
                    <w:left w:val="single" w:color="auto" w:sz="4" w:space="0"/>
                    <w:right w:val="single" w:color="auto" w:sz="4" w:space="0"/>
                  </w:tcBorders>
                  <w:noWrap w:val="0"/>
                  <w:tcMar>
                    <w:top w:w="57" w:type="dxa"/>
                    <w:left w:w="85" w:type="dxa"/>
                    <w:bottom w:w="57" w:type="dxa"/>
                    <w:right w:w="85" w:type="dxa"/>
                  </w:tcMar>
                  <w:vAlign w:val="center"/>
                </w:tcPr>
                <w:p w14:paraId="56492877">
                  <w:pPr>
                    <w:adjustRightInd w:val="0"/>
                    <w:snapToGrid w:val="0"/>
                    <w:jc w:val="center"/>
                    <w:rPr>
                      <w:rFonts w:hint="default" w:eastAsia="宋体"/>
                      <w:color w:val="auto"/>
                      <w:szCs w:val="21"/>
                      <w:lang w:val="en-US" w:eastAsia="zh-CN"/>
                    </w:rPr>
                  </w:pPr>
                  <w:r>
                    <w:rPr>
                      <w:rFonts w:hint="eastAsia"/>
                      <w:color w:val="auto"/>
                      <w:szCs w:val="21"/>
                      <w:lang w:val="en-US" w:eastAsia="zh-CN"/>
                    </w:rPr>
                    <w:t>年平均质量浓度</w:t>
                  </w:r>
                </w:p>
              </w:tc>
              <w:tc>
                <w:tcPr>
                  <w:tcW w:w="1073" w:type="dxa"/>
                  <w:tcBorders>
                    <w:top w:val="single" w:color="auto" w:sz="8"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1E18E10">
                  <w:pPr>
                    <w:adjustRightInd w:val="0"/>
                    <w:snapToGrid w:val="0"/>
                    <w:jc w:val="center"/>
                    <w:rPr>
                      <w:rFonts w:hint="default" w:eastAsia="宋体"/>
                      <w:color w:val="auto"/>
                      <w:szCs w:val="21"/>
                      <w:lang w:val="en-US" w:eastAsia="zh-CN"/>
                    </w:rPr>
                  </w:pPr>
                  <w:r>
                    <w:rPr>
                      <w:rFonts w:hint="eastAsia"/>
                      <w:color w:val="auto"/>
                      <w:szCs w:val="21"/>
                      <w:lang w:val="en-US" w:eastAsia="zh-CN"/>
                    </w:rPr>
                    <w:t>82</w:t>
                  </w:r>
                </w:p>
              </w:tc>
              <w:tc>
                <w:tcPr>
                  <w:tcW w:w="1150" w:type="dxa"/>
                  <w:tcBorders>
                    <w:top w:val="single" w:color="auto" w:sz="8"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D83C766">
                  <w:pPr>
                    <w:adjustRightInd w:val="0"/>
                    <w:snapToGrid w:val="0"/>
                    <w:jc w:val="center"/>
                    <w:rPr>
                      <w:rFonts w:hint="default" w:eastAsia="宋体"/>
                      <w:color w:val="auto"/>
                      <w:szCs w:val="21"/>
                      <w:lang w:val="en-US" w:eastAsia="zh-CN"/>
                    </w:rPr>
                  </w:pPr>
                  <w:r>
                    <w:rPr>
                      <w:rFonts w:hint="eastAsia"/>
                      <w:color w:val="auto"/>
                      <w:szCs w:val="21"/>
                      <w:lang w:val="en-US" w:eastAsia="zh-CN"/>
                    </w:rPr>
                    <w:t>70</w:t>
                  </w:r>
                </w:p>
              </w:tc>
              <w:tc>
                <w:tcPr>
                  <w:tcW w:w="908" w:type="dxa"/>
                  <w:tcBorders>
                    <w:top w:val="single" w:color="auto" w:sz="8"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5305991C">
                  <w:pPr>
                    <w:adjustRightInd w:val="0"/>
                    <w:snapToGrid w:val="0"/>
                    <w:jc w:val="center"/>
                    <w:rPr>
                      <w:rFonts w:hint="default" w:eastAsia="宋体"/>
                      <w:color w:val="auto"/>
                      <w:szCs w:val="21"/>
                      <w:lang w:val="en-US" w:eastAsia="zh-CN"/>
                    </w:rPr>
                  </w:pPr>
                  <w:r>
                    <w:rPr>
                      <w:rFonts w:hint="eastAsia"/>
                      <w:color w:val="auto"/>
                      <w:szCs w:val="21"/>
                      <w:lang w:val="en-US" w:eastAsia="zh-CN"/>
                    </w:rPr>
                    <w:t>117.1</w:t>
                  </w:r>
                </w:p>
              </w:tc>
              <w:tc>
                <w:tcPr>
                  <w:tcW w:w="972"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2F678389">
                  <w:pPr>
                    <w:adjustRightInd w:val="0"/>
                    <w:snapToGrid w:val="0"/>
                    <w:jc w:val="center"/>
                    <w:rPr>
                      <w:rFonts w:hint="eastAsia" w:eastAsia="宋体"/>
                      <w:color w:val="auto"/>
                      <w:szCs w:val="21"/>
                      <w:lang w:val="en-US" w:eastAsia="zh-CN"/>
                    </w:rPr>
                  </w:pPr>
                  <w:r>
                    <w:rPr>
                      <w:rFonts w:hint="eastAsia"/>
                      <w:color w:val="auto"/>
                      <w:szCs w:val="21"/>
                      <w:lang w:val="en-US" w:eastAsia="zh-CN"/>
                    </w:rPr>
                    <w:t>超标</w:t>
                  </w:r>
                </w:p>
              </w:tc>
              <w:tc>
                <w:tcPr>
                  <w:tcW w:w="1038"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06274E2">
                  <w:pPr>
                    <w:adjustRightInd w:val="0"/>
                    <w:snapToGrid w:val="0"/>
                    <w:jc w:val="center"/>
                    <w:rPr>
                      <w:rFonts w:hint="default" w:eastAsia="宋体"/>
                      <w:color w:val="auto"/>
                      <w:szCs w:val="21"/>
                      <w:lang w:val="en-US" w:eastAsia="zh-CN"/>
                    </w:rPr>
                  </w:pPr>
                  <w:r>
                    <w:rPr>
                      <w:rFonts w:hint="eastAsia"/>
                      <w:color w:val="auto"/>
                      <w:szCs w:val="21"/>
                      <w:lang w:val="en-US" w:eastAsia="zh-CN"/>
                    </w:rPr>
                    <w:t>60</w:t>
                  </w:r>
                </w:p>
              </w:tc>
              <w:tc>
                <w:tcPr>
                  <w:tcW w:w="932" w:type="dxa"/>
                  <w:tcBorders>
                    <w:top w:val="single" w:color="auto" w:sz="8" w:space="0"/>
                    <w:left w:val="nil"/>
                    <w:bottom w:val="single" w:color="auto" w:sz="4" w:space="0"/>
                    <w:right w:val="single" w:color="auto" w:sz="4" w:space="0"/>
                  </w:tcBorders>
                  <w:noWrap w:val="0"/>
                  <w:tcMar>
                    <w:top w:w="57" w:type="dxa"/>
                    <w:left w:w="85" w:type="dxa"/>
                    <w:bottom w:w="57" w:type="dxa"/>
                    <w:right w:w="85" w:type="dxa"/>
                  </w:tcMar>
                  <w:vAlign w:val="center"/>
                </w:tcPr>
                <w:p w14:paraId="39925A37">
                  <w:pPr>
                    <w:adjustRightInd w:val="0"/>
                    <w:snapToGrid w:val="0"/>
                    <w:jc w:val="center"/>
                    <w:rPr>
                      <w:rFonts w:hint="default" w:eastAsia="宋体"/>
                      <w:color w:val="auto"/>
                      <w:szCs w:val="21"/>
                      <w:lang w:val="en-US" w:eastAsia="zh-CN"/>
                    </w:rPr>
                  </w:pPr>
                  <w:r>
                    <w:rPr>
                      <w:rFonts w:hint="eastAsia"/>
                      <w:color w:val="auto"/>
                      <w:szCs w:val="21"/>
                      <w:lang w:val="en-US" w:eastAsia="zh-CN"/>
                    </w:rPr>
                    <w:t>13.67</w:t>
                  </w:r>
                </w:p>
              </w:tc>
              <w:tc>
                <w:tcPr>
                  <w:tcW w:w="932" w:type="dxa"/>
                  <w:tcBorders>
                    <w:top w:val="single" w:color="auto" w:sz="8" w:space="0"/>
                    <w:left w:val="nil"/>
                    <w:bottom w:val="single" w:color="auto" w:sz="4" w:space="0"/>
                    <w:right w:val="nil"/>
                  </w:tcBorders>
                  <w:shd w:val="clear" w:color="auto" w:fill="auto"/>
                  <w:noWrap w:val="0"/>
                  <w:tcMar>
                    <w:top w:w="57" w:type="dxa"/>
                    <w:left w:w="85" w:type="dxa"/>
                    <w:bottom w:w="57" w:type="dxa"/>
                    <w:right w:w="85" w:type="dxa"/>
                  </w:tcMar>
                  <w:vAlign w:val="center"/>
                </w:tcPr>
                <w:p w14:paraId="49B4DC12">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超标</w:t>
                  </w:r>
                </w:p>
              </w:tc>
            </w:tr>
            <w:tr w14:paraId="17A65D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4426F4D1">
                  <w:pPr>
                    <w:adjustRightInd w:val="0"/>
                    <w:snapToGrid w:val="0"/>
                    <w:jc w:val="center"/>
                    <w:rPr>
                      <w:rFonts w:hint="default" w:eastAsia="宋体"/>
                      <w:color w:val="auto"/>
                      <w:szCs w:val="21"/>
                      <w:lang w:val="en-US" w:eastAsia="zh-CN"/>
                    </w:rPr>
                  </w:pPr>
                  <w:r>
                    <w:rPr>
                      <w:rFonts w:hint="eastAsia"/>
                      <w:color w:val="auto"/>
                      <w:szCs w:val="21"/>
                      <w:lang w:val="en-US" w:eastAsia="zh-CN"/>
                    </w:rPr>
                    <w:t>PM</w:t>
                  </w:r>
                  <w:r>
                    <w:rPr>
                      <w:rFonts w:hint="eastAsia"/>
                      <w:color w:val="auto"/>
                      <w:szCs w:val="21"/>
                      <w:vertAlign w:val="subscript"/>
                      <w:lang w:val="en-US" w:eastAsia="zh-CN"/>
                    </w:rPr>
                    <w:t>2.5</w:t>
                  </w:r>
                </w:p>
              </w:tc>
              <w:tc>
                <w:tcPr>
                  <w:tcW w:w="758" w:type="dxa"/>
                  <w:vMerge w:val="continue"/>
                  <w:tcBorders>
                    <w:left w:val="single" w:color="auto" w:sz="4" w:space="0"/>
                    <w:right w:val="single" w:color="auto" w:sz="4" w:space="0"/>
                  </w:tcBorders>
                  <w:noWrap w:val="0"/>
                  <w:tcMar>
                    <w:top w:w="57" w:type="dxa"/>
                    <w:left w:w="85" w:type="dxa"/>
                    <w:bottom w:w="57" w:type="dxa"/>
                    <w:right w:w="85" w:type="dxa"/>
                  </w:tcMar>
                  <w:vAlign w:val="center"/>
                </w:tcPr>
                <w:p w14:paraId="17EADCD6">
                  <w:pPr>
                    <w:adjustRightInd w:val="0"/>
                    <w:snapToGrid w:val="0"/>
                    <w:jc w:val="center"/>
                    <w:rPr>
                      <w:color w:val="auto"/>
                      <w:szCs w:val="21"/>
                    </w:rPr>
                  </w:pPr>
                </w:p>
              </w:tc>
              <w:tc>
                <w:tcPr>
                  <w:tcW w:w="1073"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42B7E56E">
                  <w:pPr>
                    <w:adjustRightInd w:val="0"/>
                    <w:snapToGrid w:val="0"/>
                    <w:jc w:val="center"/>
                    <w:rPr>
                      <w:rFonts w:hint="default" w:eastAsia="宋体"/>
                      <w:color w:val="auto"/>
                      <w:szCs w:val="21"/>
                      <w:lang w:val="en-US" w:eastAsia="zh-CN"/>
                    </w:rPr>
                  </w:pPr>
                  <w:r>
                    <w:rPr>
                      <w:rFonts w:hint="eastAsia"/>
                      <w:color w:val="auto"/>
                      <w:szCs w:val="21"/>
                      <w:lang w:val="en-US" w:eastAsia="zh-CN"/>
                    </w:rPr>
                    <w:t>49</w:t>
                  </w:r>
                </w:p>
              </w:tc>
              <w:tc>
                <w:tcPr>
                  <w:tcW w:w="1150"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D6EFB42">
                  <w:pPr>
                    <w:adjustRightInd w:val="0"/>
                    <w:snapToGrid w:val="0"/>
                    <w:jc w:val="center"/>
                    <w:rPr>
                      <w:rFonts w:hint="default" w:eastAsia="宋体"/>
                      <w:color w:val="auto"/>
                      <w:szCs w:val="21"/>
                      <w:lang w:val="en-US" w:eastAsia="zh-CN"/>
                    </w:rPr>
                  </w:pPr>
                  <w:r>
                    <w:rPr>
                      <w:rFonts w:hint="eastAsia"/>
                      <w:color w:val="auto"/>
                      <w:szCs w:val="21"/>
                      <w:lang w:val="en-US" w:eastAsia="zh-CN"/>
                    </w:rPr>
                    <w:t>35</w:t>
                  </w:r>
                </w:p>
              </w:tc>
              <w:tc>
                <w:tcPr>
                  <w:tcW w:w="908"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1271A593">
                  <w:pPr>
                    <w:adjustRightInd w:val="0"/>
                    <w:snapToGrid w:val="0"/>
                    <w:jc w:val="center"/>
                    <w:rPr>
                      <w:rFonts w:hint="default" w:eastAsia="宋体"/>
                      <w:color w:val="auto"/>
                      <w:szCs w:val="21"/>
                      <w:lang w:val="en-US" w:eastAsia="zh-CN"/>
                    </w:rPr>
                  </w:pPr>
                  <w:r>
                    <w:rPr>
                      <w:rFonts w:hint="eastAsia"/>
                      <w:color w:val="auto"/>
                      <w:szCs w:val="21"/>
                      <w:lang w:val="en-US" w:eastAsia="zh-CN"/>
                    </w:rPr>
                    <w:t>140</w:t>
                  </w:r>
                </w:p>
              </w:tc>
              <w:tc>
                <w:tcPr>
                  <w:tcW w:w="972"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1176A165">
                  <w:pPr>
                    <w:adjustRightInd w:val="0"/>
                    <w:snapToGrid w:val="0"/>
                    <w:jc w:val="center"/>
                    <w:rPr>
                      <w:color w:val="auto"/>
                      <w:szCs w:val="21"/>
                    </w:rPr>
                  </w:pPr>
                  <w:r>
                    <w:rPr>
                      <w:rFonts w:hint="eastAsia"/>
                      <w:color w:val="auto"/>
                      <w:szCs w:val="21"/>
                      <w:lang w:val="en-US" w:eastAsia="zh-CN"/>
                    </w:rPr>
                    <w:t>超标</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034DD2BC">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kern w:val="2"/>
                      <w:sz w:val="21"/>
                      <w:lang w:val="en-US" w:eastAsia="zh-CN"/>
                    </w:rPr>
                    <w:t>30</w:t>
                  </w:r>
                </w:p>
              </w:tc>
              <w:tc>
                <w:tcPr>
                  <w:tcW w:w="932" w:type="dxa"/>
                  <w:tcBorders>
                    <w:top w:val="single" w:color="auto" w:sz="4" w:space="0"/>
                    <w:left w:val="nil"/>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73F89DE1">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kern w:val="2"/>
                      <w:sz w:val="21"/>
                      <w:lang w:val="en-US" w:eastAsia="zh-CN"/>
                    </w:rPr>
                    <w:t>163.3</w:t>
                  </w:r>
                </w:p>
              </w:tc>
              <w:tc>
                <w:tcPr>
                  <w:tcW w:w="932" w:type="dxa"/>
                  <w:tcBorders>
                    <w:top w:val="single" w:color="auto" w:sz="4" w:space="0"/>
                    <w:left w:val="nil"/>
                    <w:bottom w:val="single" w:color="auto" w:sz="4" w:space="0"/>
                    <w:right w:val="nil"/>
                  </w:tcBorders>
                  <w:shd w:val="clear" w:color="auto" w:fill="auto"/>
                  <w:noWrap w:val="0"/>
                  <w:tcMar>
                    <w:top w:w="57" w:type="dxa"/>
                    <w:left w:w="85" w:type="dxa"/>
                    <w:bottom w:w="57" w:type="dxa"/>
                    <w:right w:w="85" w:type="dxa"/>
                  </w:tcMar>
                  <w:vAlign w:val="center"/>
                </w:tcPr>
                <w:p w14:paraId="75E6DBA7">
                  <w:pPr>
                    <w:adjustRightInd w:val="0"/>
                    <w:snapToGrid w:val="0"/>
                    <w:jc w:val="center"/>
                    <w:rPr>
                      <w:rFonts w:ascii="Times New Roman" w:hAnsi="Times New Roman" w:eastAsia="宋体" w:cs="Times New Roman"/>
                      <w:color w:val="auto"/>
                      <w:kern w:val="2"/>
                      <w:sz w:val="21"/>
                      <w:szCs w:val="21"/>
                      <w:lang w:val="en-US" w:eastAsia="zh-CN" w:bidi="ar-SA"/>
                    </w:rPr>
                  </w:pPr>
                  <w:r>
                    <w:rPr>
                      <w:rFonts w:hint="eastAsia"/>
                      <w:color w:val="auto"/>
                      <w:szCs w:val="21"/>
                      <w:lang w:val="en-US" w:eastAsia="zh-CN"/>
                    </w:rPr>
                    <w:t>超标</w:t>
                  </w:r>
                </w:p>
              </w:tc>
            </w:tr>
            <w:tr w14:paraId="1A003C3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634F2547">
                  <w:pPr>
                    <w:adjustRightInd w:val="0"/>
                    <w:snapToGrid w:val="0"/>
                    <w:jc w:val="center"/>
                    <w:rPr>
                      <w:rFonts w:hint="default" w:eastAsia="宋体"/>
                      <w:color w:val="auto"/>
                      <w:szCs w:val="21"/>
                      <w:lang w:val="en-US" w:eastAsia="zh-CN"/>
                    </w:rPr>
                  </w:pPr>
                  <w:r>
                    <w:rPr>
                      <w:rFonts w:hint="eastAsia"/>
                      <w:color w:val="auto"/>
                      <w:szCs w:val="21"/>
                      <w:lang w:val="en-US" w:eastAsia="zh-CN"/>
                    </w:rPr>
                    <w:t>SO</w:t>
                  </w:r>
                  <w:r>
                    <w:rPr>
                      <w:rFonts w:hint="eastAsia"/>
                      <w:color w:val="auto"/>
                      <w:szCs w:val="21"/>
                      <w:vertAlign w:val="subscript"/>
                      <w:lang w:val="en-US" w:eastAsia="zh-CN"/>
                    </w:rPr>
                    <w:t>2</w:t>
                  </w:r>
                </w:p>
              </w:tc>
              <w:tc>
                <w:tcPr>
                  <w:tcW w:w="758" w:type="dxa"/>
                  <w:vMerge w:val="continue"/>
                  <w:tcBorders>
                    <w:left w:val="single" w:color="auto" w:sz="4" w:space="0"/>
                    <w:right w:val="single" w:color="auto" w:sz="4" w:space="0"/>
                  </w:tcBorders>
                  <w:noWrap w:val="0"/>
                  <w:tcMar>
                    <w:top w:w="57" w:type="dxa"/>
                    <w:left w:w="85" w:type="dxa"/>
                    <w:bottom w:w="57" w:type="dxa"/>
                    <w:right w:w="85" w:type="dxa"/>
                  </w:tcMar>
                  <w:vAlign w:val="center"/>
                </w:tcPr>
                <w:p w14:paraId="445041E0">
                  <w:pPr>
                    <w:adjustRightInd w:val="0"/>
                    <w:snapToGrid w:val="0"/>
                    <w:jc w:val="center"/>
                    <w:rPr>
                      <w:color w:val="auto"/>
                      <w:szCs w:val="21"/>
                    </w:rPr>
                  </w:pPr>
                </w:p>
              </w:tc>
              <w:tc>
                <w:tcPr>
                  <w:tcW w:w="1073"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86C43DF">
                  <w:pPr>
                    <w:adjustRightInd w:val="0"/>
                    <w:snapToGrid w:val="0"/>
                    <w:jc w:val="center"/>
                    <w:rPr>
                      <w:rFonts w:hint="default" w:eastAsia="宋体"/>
                      <w:color w:val="auto"/>
                      <w:szCs w:val="21"/>
                      <w:lang w:val="en-US" w:eastAsia="zh-CN"/>
                    </w:rPr>
                  </w:pPr>
                  <w:r>
                    <w:rPr>
                      <w:rFonts w:hint="eastAsia"/>
                      <w:color w:val="auto"/>
                      <w:szCs w:val="21"/>
                      <w:lang w:val="en-US" w:eastAsia="zh-CN"/>
                    </w:rPr>
                    <w:t>8</w:t>
                  </w:r>
                </w:p>
              </w:tc>
              <w:tc>
                <w:tcPr>
                  <w:tcW w:w="1150"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26A898D5">
                  <w:pPr>
                    <w:adjustRightInd w:val="0"/>
                    <w:snapToGrid w:val="0"/>
                    <w:jc w:val="center"/>
                    <w:rPr>
                      <w:rFonts w:hint="default" w:eastAsia="宋体"/>
                      <w:color w:val="auto"/>
                      <w:szCs w:val="21"/>
                      <w:lang w:val="en-US" w:eastAsia="zh-CN"/>
                    </w:rPr>
                  </w:pPr>
                  <w:r>
                    <w:rPr>
                      <w:rFonts w:hint="eastAsia"/>
                      <w:color w:val="auto"/>
                      <w:szCs w:val="21"/>
                      <w:lang w:val="en-US" w:eastAsia="zh-CN"/>
                    </w:rPr>
                    <w:t>60</w:t>
                  </w:r>
                </w:p>
              </w:tc>
              <w:tc>
                <w:tcPr>
                  <w:tcW w:w="908"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348E69D5">
                  <w:pPr>
                    <w:adjustRightInd w:val="0"/>
                    <w:snapToGrid w:val="0"/>
                    <w:jc w:val="center"/>
                    <w:rPr>
                      <w:rFonts w:hint="default" w:eastAsia="宋体"/>
                      <w:color w:val="auto"/>
                      <w:szCs w:val="21"/>
                      <w:lang w:val="en-US" w:eastAsia="zh-CN"/>
                    </w:rPr>
                  </w:pPr>
                  <w:r>
                    <w:rPr>
                      <w:rFonts w:hint="eastAsia"/>
                      <w:color w:val="auto"/>
                      <w:szCs w:val="21"/>
                      <w:lang w:val="en-US" w:eastAsia="zh-CN"/>
                    </w:rPr>
                    <w:t>13.3</w:t>
                  </w:r>
                </w:p>
              </w:tc>
              <w:tc>
                <w:tcPr>
                  <w:tcW w:w="972"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192A7337">
                  <w:pPr>
                    <w:adjustRightInd w:val="0"/>
                    <w:snapToGrid w:val="0"/>
                    <w:jc w:val="center"/>
                    <w:rPr>
                      <w:rFonts w:hint="eastAsia" w:eastAsia="宋体"/>
                      <w:color w:val="auto"/>
                      <w:szCs w:val="21"/>
                      <w:lang w:val="en-US" w:eastAsia="zh-CN"/>
                    </w:rPr>
                  </w:pPr>
                  <w:r>
                    <w:rPr>
                      <w:rFonts w:hint="eastAsia"/>
                      <w:color w:val="auto"/>
                      <w:szCs w:val="21"/>
                      <w:lang w:val="en-US" w:eastAsia="zh-CN"/>
                    </w:rPr>
                    <w:t>达标</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1F3F4054">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kern w:val="2"/>
                      <w:sz w:val="21"/>
                      <w:lang w:val="en-US" w:eastAsia="zh-CN"/>
                    </w:rPr>
                    <w:t>60</w:t>
                  </w:r>
                </w:p>
              </w:tc>
              <w:tc>
                <w:tcPr>
                  <w:tcW w:w="932" w:type="dxa"/>
                  <w:tcBorders>
                    <w:top w:val="single" w:color="auto" w:sz="4" w:space="0"/>
                    <w:left w:val="nil"/>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2810ACE9">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kern w:val="2"/>
                      <w:sz w:val="21"/>
                      <w:lang w:val="en-US" w:eastAsia="zh-CN"/>
                    </w:rPr>
                    <w:t>13.3</w:t>
                  </w:r>
                </w:p>
              </w:tc>
              <w:tc>
                <w:tcPr>
                  <w:tcW w:w="932" w:type="dxa"/>
                  <w:tcBorders>
                    <w:top w:val="single" w:color="auto" w:sz="4" w:space="0"/>
                    <w:left w:val="nil"/>
                    <w:bottom w:val="single" w:color="auto" w:sz="4" w:space="0"/>
                    <w:right w:val="nil"/>
                  </w:tcBorders>
                  <w:shd w:val="clear" w:color="auto" w:fill="auto"/>
                  <w:noWrap w:val="0"/>
                  <w:tcMar>
                    <w:top w:w="57" w:type="dxa"/>
                    <w:left w:w="85" w:type="dxa"/>
                    <w:bottom w:w="57" w:type="dxa"/>
                    <w:right w:w="85" w:type="dxa"/>
                  </w:tcMar>
                  <w:vAlign w:val="center"/>
                </w:tcPr>
                <w:p w14:paraId="4783CC6A">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达标</w:t>
                  </w:r>
                </w:p>
              </w:tc>
            </w:tr>
            <w:tr w14:paraId="763FDAD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25909648">
                  <w:pPr>
                    <w:adjustRightInd w:val="0"/>
                    <w:snapToGrid w:val="0"/>
                    <w:jc w:val="center"/>
                    <w:rPr>
                      <w:rFonts w:hint="default" w:eastAsia="宋体"/>
                      <w:color w:val="auto"/>
                      <w:szCs w:val="21"/>
                      <w:lang w:val="en-US" w:eastAsia="zh-CN"/>
                    </w:rPr>
                  </w:pPr>
                  <w:r>
                    <w:rPr>
                      <w:rFonts w:hint="eastAsia"/>
                      <w:color w:val="auto"/>
                      <w:szCs w:val="21"/>
                      <w:lang w:val="en-US" w:eastAsia="zh-CN"/>
                    </w:rPr>
                    <w:t>NO</w:t>
                  </w:r>
                  <w:r>
                    <w:rPr>
                      <w:rFonts w:hint="eastAsia"/>
                      <w:color w:val="auto"/>
                      <w:szCs w:val="21"/>
                      <w:vertAlign w:val="subscript"/>
                      <w:lang w:val="en-US" w:eastAsia="zh-CN"/>
                    </w:rPr>
                    <w:t>2</w:t>
                  </w:r>
                </w:p>
              </w:tc>
              <w:tc>
                <w:tcPr>
                  <w:tcW w:w="758" w:type="dxa"/>
                  <w:vMerge w:val="continue"/>
                  <w:tcBorders>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1928FEE7">
                  <w:pPr>
                    <w:adjustRightInd w:val="0"/>
                    <w:snapToGrid w:val="0"/>
                    <w:jc w:val="center"/>
                    <w:rPr>
                      <w:color w:val="auto"/>
                      <w:szCs w:val="21"/>
                    </w:rPr>
                  </w:pPr>
                </w:p>
              </w:tc>
              <w:tc>
                <w:tcPr>
                  <w:tcW w:w="1073"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08558B0">
                  <w:pPr>
                    <w:adjustRightInd w:val="0"/>
                    <w:snapToGrid w:val="0"/>
                    <w:jc w:val="center"/>
                    <w:rPr>
                      <w:rFonts w:hint="default" w:eastAsia="宋体"/>
                      <w:color w:val="auto"/>
                      <w:szCs w:val="21"/>
                      <w:lang w:val="en-US" w:eastAsia="zh-CN"/>
                    </w:rPr>
                  </w:pPr>
                  <w:r>
                    <w:rPr>
                      <w:rFonts w:hint="eastAsia"/>
                      <w:color w:val="auto"/>
                      <w:szCs w:val="21"/>
                      <w:lang w:val="en-US" w:eastAsia="zh-CN"/>
                    </w:rPr>
                    <w:t>27</w:t>
                  </w:r>
                </w:p>
              </w:tc>
              <w:tc>
                <w:tcPr>
                  <w:tcW w:w="1150"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F65E7E0">
                  <w:pPr>
                    <w:adjustRightInd w:val="0"/>
                    <w:snapToGrid w:val="0"/>
                    <w:jc w:val="center"/>
                    <w:rPr>
                      <w:rFonts w:hint="default" w:eastAsia="宋体"/>
                      <w:color w:val="auto"/>
                      <w:szCs w:val="21"/>
                      <w:lang w:val="en-US" w:eastAsia="zh-CN"/>
                    </w:rPr>
                  </w:pPr>
                  <w:r>
                    <w:rPr>
                      <w:rFonts w:hint="eastAsia"/>
                      <w:color w:val="auto"/>
                      <w:szCs w:val="21"/>
                      <w:lang w:val="en-US" w:eastAsia="zh-CN"/>
                    </w:rPr>
                    <w:t>40</w:t>
                  </w:r>
                </w:p>
              </w:tc>
              <w:tc>
                <w:tcPr>
                  <w:tcW w:w="908"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F139CA0">
                  <w:pPr>
                    <w:adjustRightInd w:val="0"/>
                    <w:snapToGrid w:val="0"/>
                    <w:jc w:val="center"/>
                    <w:rPr>
                      <w:rFonts w:hint="default" w:eastAsia="宋体"/>
                      <w:color w:val="auto"/>
                      <w:szCs w:val="21"/>
                      <w:lang w:val="en-US" w:eastAsia="zh-CN"/>
                    </w:rPr>
                  </w:pPr>
                  <w:r>
                    <w:rPr>
                      <w:rFonts w:hint="eastAsia"/>
                      <w:color w:val="auto"/>
                      <w:szCs w:val="21"/>
                      <w:lang w:val="en-US" w:eastAsia="zh-CN"/>
                    </w:rPr>
                    <w:t>67.5</w:t>
                  </w:r>
                </w:p>
              </w:tc>
              <w:tc>
                <w:tcPr>
                  <w:tcW w:w="972"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73B769BC">
                  <w:pPr>
                    <w:adjustRightInd w:val="0"/>
                    <w:snapToGrid w:val="0"/>
                    <w:jc w:val="center"/>
                    <w:rPr>
                      <w:rFonts w:hint="eastAsia" w:eastAsia="宋体"/>
                      <w:color w:val="auto"/>
                      <w:szCs w:val="21"/>
                      <w:lang w:val="en-US" w:eastAsia="zh-CN"/>
                    </w:rPr>
                  </w:pPr>
                  <w:r>
                    <w:rPr>
                      <w:rFonts w:hint="eastAsia"/>
                      <w:color w:val="auto"/>
                      <w:szCs w:val="21"/>
                      <w:lang w:val="en-US" w:eastAsia="zh-CN"/>
                    </w:rPr>
                    <w:t>达标</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477114C8">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color w:val="auto"/>
                      <w:kern w:val="2"/>
                      <w:sz w:val="21"/>
                      <w:lang w:val="en-US" w:eastAsia="zh-CN"/>
                    </w:rPr>
                    <w:t>40</w:t>
                  </w:r>
                </w:p>
              </w:tc>
              <w:tc>
                <w:tcPr>
                  <w:tcW w:w="932" w:type="dxa"/>
                  <w:tcBorders>
                    <w:top w:val="single" w:color="auto" w:sz="4" w:space="0"/>
                    <w:left w:val="nil"/>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52AA0237">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kern w:val="2"/>
                      <w:sz w:val="21"/>
                      <w:lang w:val="en-US" w:eastAsia="zh-CN"/>
                    </w:rPr>
                    <w:t xml:space="preserve">90.0 </w:t>
                  </w:r>
                </w:p>
              </w:tc>
              <w:tc>
                <w:tcPr>
                  <w:tcW w:w="932" w:type="dxa"/>
                  <w:tcBorders>
                    <w:top w:val="single" w:color="auto" w:sz="4" w:space="0"/>
                    <w:left w:val="nil"/>
                    <w:bottom w:val="single" w:color="auto" w:sz="4" w:space="0"/>
                    <w:right w:val="nil"/>
                  </w:tcBorders>
                  <w:shd w:val="clear" w:color="auto" w:fill="auto"/>
                  <w:noWrap w:val="0"/>
                  <w:tcMar>
                    <w:top w:w="57" w:type="dxa"/>
                    <w:left w:w="85" w:type="dxa"/>
                    <w:bottom w:w="57" w:type="dxa"/>
                    <w:right w:w="85" w:type="dxa"/>
                  </w:tcMar>
                  <w:vAlign w:val="center"/>
                </w:tcPr>
                <w:p w14:paraId="72292D6C">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达标</w:t>
                  </w:r>
                </w:p>
              </w:tc>
            </w:tr>
            <w:tr w14:paraId="1E33F7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tcBorders>
                    <w:top w:val="single" w:color="auto" w:sz="4" w:space="0"/>
                    <w:left w:val="nil"/>
                    <w:bottom w:val="single" w:color="auto" w:sz="4" w:space="0"/>
                    <w:right w:val="single" w:color="auto" w:sz="4" w:space="0"/>
                  </w:tcBorders>
                  <w:noWrap w:val="0"/>
                  <w:tcMar>
                    <w:top w:w="57" w:type="dxa"/>
                    <w:left w:w="85" w:type="dxa"/>
                    <w:bottom w:w="57" w:type="dxa"/>
                    <w:right w:w="85" w:type="dxa"/>
                  </w:tcMar>
                  <w:vAlign w:val="center"/>
                </w:tcPr>
                <w:p w14:paraId="486BDB3B">
                  <w:pPr>
                    <w:adjustRightInd w:val="0"/>
                    <w:snapToGrid w:val="0"/>
                    <w:jc w:val="center"/>
                    <w:rPr>
                      <w:rFonts w:hint="default" w:eastAsia="宋体"/>
                      <w:color w:val="auto"/>
                      <w:szCs w:val="21"/>
                      <w:lang w:val="en-US" w:eastAsia="zh-CN"/>
                    </w:rPr>
                  </w:pPr>
                  <w:r>
                    <w:rPr>
                      <w:rFonts w:hint="eastAsia"/>
                      <w:color w:val="auto"/>
                      <w:szCs w:val="21"/>
                      <w:lang w:val="en-US" w:eastAsia="zh-CN"/>
                    </w:rPr>
                    <w:t>CO</w:t>
                  </w:r>
                </w:p>
              </w:tc>
              <w:tc>
                <w:tcPr>
                  <w:tcW w:w="758"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15E5A65A">
                  <w:pPr>
                    <w:adjustRightInd w:val="0"/>
                    <w:snapToGrid w:val="0"/>
                    <w:jc w:val="center"/>
                    <w:rPr>
                      <w:rFonts w:hint="default" w:eastAsia="宋体"/>
                      <w:color w:val="auto"/>
                      <w:szCs w:val="21"/>
                      <w:lang w:val="en-US" w:eastAsia="zh-CN"/>
                    </w:rPr>
                  </w:pPr>
                  <w:r>
                    <w:rPr>
                      <w:rFonts w:hint="eastAsia"/>
                      <w:color w:val="auto"/>
                      <w:szCs w:val="21"/>
                      <w:lang w:val="en-US" w:eastAsia="zh-CN"/>
                    </w:rPr>
                    <w:t>第95百分位浓度</w:t>
                  </w:r>
                </w:p>
              </w:tc>
              <w:tc>
                <w:tcPr>
                  <w:tcW w:w="1073"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203C4DC7">
                  <w:pPr>
                    <w:adjustRightInd w:val="0"/>
                    <w:snapToGrid w:val="0"/>
                    <w:jc w:val="center"/>
                    <w:rPr>
                      <w:rFonts w:hint="default" w:eastAsia="宋体"/>
                      <w:color w:val="auto"/>
                      <w:szCs w:val="21"/>
                      <w:lang w:val="en-US" w:eastAsia="zh-CN"/>
                    </w:rPr>
                  </w:pPr>
                  <w:r>
                    <w:rPr>
                      <w:rFonts w:hint="eastAsia"/>
                      <w:color w:val="auto"/>
                      <w:szCs w:val="21"/>
                      <w:lang w:val="en-US" w:eastAsia="zh-CN"/>
                    </w:rPr>
                    <w:t>1.3mg/m</w:t>
                  </w:r>
                  <w:r>
                    <w:rPr>
                      <w:rFonts w:hint="eastAsia"/>
                      <w:color w:val="auto"/>
                      <w:szCs w:val="21"/>
                      <w:vertAlign w:val="superscript"/>
                      <w:lang w:val="en-US" w:eastAsia="zh-CN"/>
                    </w:rPr>
                    <w:t>3</w:t>
                  </w:r>
                </w:p>
              </w:tc>
              <w:tc>
                <w:tcPr>
                  <w:tcW w:w="1150"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6E1B2649">
                  <w:pPr>
                    <w:adjustRightInd w:val="0"/>
                    <w:snapToGrid w:val="0"/>
                    <w:jc w:val="center"/>
                    <w:rPr>
                      <w:color w:val="auto"/>
                      <w:szCs w:val="21"/>
                    </w:rPr>
                  </w:pPr>
                  <w:r>
                    <w:rPr>
                      <w:rFonts w:hint="eastAsia"/>
                      <w:color w:val="auto"/>
                      <w:szCs w:val="21"/>
                      <w:lang w:val="en-US" w:eastAsia="zh-CN"/>
                    </w:rPr>
                    <w:t>4mg/m</w:t>
                  </w:r>
                  <w:r>
                    <w:rPr>
                      <w:rFonts w:hint="eastAsia"/>
                      <w:color w:val="auto"/>
                      <w:szCs w:val="21"/>
                      <w:vertAlign w:val="superscript"/>
                      <w:lang w:val="en-US" w:eastAsia="zh-CN"/>
                    </w:rPr>
                    <w:t>3</w:t>
                  </w:r>
                </w:p>
              </w:tc>
              <w:tc>
                <w:tcPr>
                  <w:tcW w:w="908"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7393AFC1">
                  <w:pPr>
                    <w:adjustRightInd w:val="0"/>
                    <w:snapToGrid w:val="0"/>
                    <w:jc w:val="center"/>
                    <w:rPr>
                      <w:rFonts w:hint="default" w:eastAsia="宋体"/>
                      <w:color w:val="auto"/>
                      <w:szCs w:val="21"/>
                      <w:lang w:val="en-US" w:eastAsia="zh-CN"/>
                    </w:rPr>
                  </w:pPr>
                  <w:r>
                    <w:rPr>
                      <w:rFonts w:hint="eastAsia"/>
                      <w:color w:val="auto"/>
                      <w:szCs w:val="21"/>
                      <w:lang w:val="en-US" w:eastAsia="zh-CN"/>
                    </w:rPr>
                    <w:t>32.5</w:t>
                  </w:r>
                </w:p>
              </w:tc>
              <w:tc>
                <w:tcPr>
                  <w:tcW w:w="972" w:type="dxa"/>
                  <w:tcBorders>
                    <w:top w:val="single" w:color="auto" w:sz="4" w:space="0"/>
                    <w:left w:val="single" w:color="auto" w:sz="4" w:space="0"/>
                    <w:bottom w:val="single" w:color="auto" w:sz="4" w:space="0"/>
                    <w:right w:val="single" w:color="auto" w:sz="4" w:space="0"/>
                  </w:tcBorders>
                  <w:noWrap w:val="0"/>
                  <w:tcMar>
                    <w:top w:w="57" w:type="dxa"/>
                    <w:left w:w="85" w:type="dxa"/>
                    <w:bottom w:w="57" w:type="dxa"/>
                    <w:right w:w="85" w:type="dxa"/>
                  </w:tcMar>
                  <w:vAlign w:val="center"/>
                </w:tcPr>
                <w:p w14:paraId="07CE35B7">
                  <w:pPr>
                    <w:adjustRightInd w:val="0"/>
                    <w:snapToGrid w:val="0"/>
                    <w:jc w:val="center"/>
                    <w:rPr>
                      <w:rFonts w:hint="eastAsia" w:eastAsia="宋体"/>
                      <w:color w:val="auto"/>
                      <w:szCs w:val="21"/>
                      <w:lang w:val="en-US" w:eastAsia="zh-CN"/>
                    </w:rPr>
                  </w:pPr>
                  <w:r>
                    <w:rPr>
                      <w:rFonts w:hint="eastAsia"/>
                      <w:color w:val="auto"/>
                      <w:szCs w:val="21"/>
                      <w:lang w:val="en-US" w:eastAsia="zh-CN"/>
                    </w:rPr>
                    <w:t>达标</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599E2045">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kern w:val="2"/>
                      <w:sz w:val="21"/>
                      <w:lang w:val="en-US" w:eastAsia="zh-CN"/>
                    </w:rPr>
                    <w:t>4</w:t>
                  </w:r>
                  <w:r>
                    <w:rPr>
                      <w:rFonts w:hint="eastAsia"/>
                      <w:color w:val="auto"/>
                      <w:szCs w:val="21"/>
                      <w:lang w:val="en-US" w:eastAsia="zh-CN"/>
                    </w:rPr>
                    <w:t>mg/m</w:t>
                  </w:r>
                  <w:r>
                    <w:rPr>
                      <w:rFonts w:hint="eastAsia"/>
                      <w:color w:val="auto"/>
                      <w:szCs w:val="21"/>
                      <w:vertAlign w:val="superscript"/>
                      <w:lang w:val="en-US" w:eastAsia="zh-CN"/>
                    </w:rPr>
                    <w:t>3</w:t>
                  </w:r>
                </w:p>
              </w:tc>
              <w:tc>
                <w:tcPr>
                  <w:tcW w:w="932" w:type="dxa"/>
                  <w:tcBorders>
                    <w:top w:val="single" w:color="auto" w:sz="4" w:space="0"/>
                    <w:left w:val="nil"/>
                    <w:bottom w:val="single" w:color="auto" w:sz="4" w:space="0"/>
                    <w:right w:val="single" w:color="auto" w:sz="4" w:space="0"/>
                  </w:tcBorders>
                  <w:shd w:val="clear" w:color="auto" w:fill="auto"/>
                  <w:noWrap w:val="0"/>
                  <w:tcMar>
                    <w:top w:w="57" w:type="dxa"/>
                    <w:left w:w="85" w:type="dxa"/>
                    <w:bottom w:w="57" w:type="dxa"/>
                    <w:right w:w="85" w:type="dxa"/>
                  </w:tcMar>
                  <w:vAlign w:val="center"/>
                </w:tcPr>
                <w:p w14:paraId="4C69ACF2">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kern w:val="2"/>
                      <w:sz w:val="21"/>
                      <w:lang w:val="en-US" w:eastAsia="zh-CN"/>
                    </w:rPr>
                    <w:t xml:space="preserve">32.5 </w:t>
                  </w:r>
                </w:p>
              </w:tc>
              <w:tc>
                <w:tcPr>
                  <w:tcW w:w="932" w:type="dxa"/>
                  <w:tcBorders>
                    <w:top w:val="single" w:color="auto" w:sz="4" w:space="0"/>
                    <w:left w:val="nil"/>
                    <w:bottom w:val="single" w:color="auto" w:sz="4" w:space="0"/>
                    <w:right w:val="nil"/>
                  </w:tcBorders>
                  <w:shd w:val="clear" w:color="auto" w:fill="auto"/>
                  <w:noWrap w:val="0"/>
                  <w:tcMar>
                    <w:top w:w="57" w:type="dxa"/>
                    <w:left w:w="85" w:type="dxa"/>
                    <w:bottom w:w="57" w:type="dxa"/>
                    <w:right w:w="85" w:type="dxa"/>
                  </w:tcMar>
                  <w:vAlign w:val="center"/>
                </w:tcPr>
                <w:p w14:paraId="4C9B3B13">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达标</w:t>
                  </w:r>
                </w:p>
              </w:tc>
            </w:tr>
            <w:tr w14:paraId="0EA9AFB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57" w:type="dxa"/>
                  <w:left w:w="108" w:type="dxa"/>
                  <w:bottom w:w="57" w:type="dxa"/>
                  <w:right w:w="108" w:type="dxa"/>
                </w:tblCellMar>
              </w:tblPrEx>
              <w:trPr>
                <w:cantSplit/>
                <w:trHeight w:val="397" w:hRule="atLeast"/>
                <w:jc w:val="center"/>
              </w:trPr>
              <w:tc>
                <w:tcPr>
                  <w:tcW w:w="802" w:type="dxa"/>
                  <w:tcBorders>
                    <w:top w:val="single" w:color="auto" w:sz="4" w:space="0"/>
                    <w:left w:val="nil"/>
                    <w:bottom w:val="single" w:color="auto" w:sz="8" w:space="0"/>
                    <w:right w:val="single" w:color="auto" w:sz="4" w:space="0"/>
                  </w:tcBorders>
                  <w:noWrap w:val="0"/>
                  <w:tcMar>
                    <w:top w:w="57" w:type="dxa"/>
                    <w:left w:w="85" w:type="dxa"/>
                    <w:bottom w:w="57" w:type="dxa"/>
                    <w:right w:w="85" w:type="dxa"/>
                  </w:tcMar>
                  <w:vAlign w:val="center"/>
                </w:tcPr>
                <w:p w14:paraId="5A36AE29">
                  <w:pPr>
                    <w:adjustRightInd w:val="0"/>
                    <w:snapToGrid w:val="0"/>
                    <w:jc w:val="center"/>
                    <w:rPr>
                      <w:rFonts w:hint="default" w:eastAsia="宋体"/>
                      <w:color w:val="auto"/>
                      <w:szCs w:val="21"/>
                      <w:lang w:val="en-US" w:eastAsia="zh-CN"/>
                    </w:rPr>
                  </w:pPr>
                  <w:r>
                    <w:rPr>
                      <w:rFonts w:hint="eastAsia"/>
                      <w:color w:val="auto"/>
                      <w:szCs w:val="21"/>
                      <w:lang w:val="en-US" w:eastAsia="zh-CN"/>
                    </w:rPr>
                    <w:t>O</w:t>
                  </w:r>
                  <w:r>
                    <w:rPr>
                      <w:rFonts w:hint="eastAsia"/>
                      <w:color w:val="auto"/>
                      <w:szCs w:val="21"/>
                      <w:vertAlign w:val="subscript"/>
                      <w:lang w:val="en-US" w:eastAsia="zh-CN"/>
                    </w:rPr>
                    <w:t>3</w:t>
                  </w:r>
                </w:p>
              </w:tc>
              <w:tc>
                <w:tcPr>
                  <w:tcW w:w="758" w:type="dxa"/>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624F2FF4">
                  <w:pPr>
                    <w:adjustRightInd w:val="0"/>
                    <w:snapToGrid w:val="0"/>
                    <w:jc w:val="center"/>
                    <w:rPr>
                      <w:color w:val="auto"/>
                      <w:szCs w:val="21"/>
                    </w:rPr>
                  </w:pPr>
                  <w:r>
                    <w:rPr>
                      <w:rFonts w:hint="eastAsia"/>
                      <w:color w:val="auto"/>
                      <w:szCs w:val="21"/>
                      <w:lang w:val="en-US" w:eastAsia="zh-CN"/>
                    </w:rPr>
                    <w:t>第90百分位浓度</w:t>
                  </w:r>
                </w:p>
              </w:tc>
              <w:tc>
                <w:tcPr>
                  <w:tcW w:w="1073" w:type="dxa"/>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10542905">
                  <w:pPr>
                    <w:adjustRightInd w:val="0"/>
                    <w:snapToGrid w:val="0"/>
                    <w:jc w:val="center"/>
                    <w:rPr>
                      <w:rFonts w:hint="default" w:eastAsia="宋体"/>
                      <w:color w:val="auto"/>
                      <w:szCs w:val="21"/>
                      <w:lang w:val="en-US" w:eastAsia="zh-CN"/>
                    </w:rPr>
                  </w:pPr>
                  <w:r>
                    <w:rPr>
                      <w:rFonts w:hint="eastAsia"/>
                      <w:color w:val="auto"/>
                      <w:szCs w:val="21"/>
                      <w:lang w:val="en-US" w:eastAsia="zh-CN"/>
                    </w:rPr>
                    <w:t>183</w:t>
                  </w:r>
                </w:p>
              </w:tc>
              <w:tc>
                <w:tcPr>
                  <w:tcW w:w="1150" w:type="dxa"/>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09EA4FB3">
                  <w:pPr>
                    <w:adjustRightInd w:val="0"/>
                    <w:snapToGrid w:val="0"/>
                    <w:jc w:val="center"/>
                    <w:rPr>
                      <w:rFonts w:hint="default" w:eastAsia="宋体"/>
                      <w:color w:val="auto"/>
                      <w:szCs w:val="21"/>
                      <w:lang w:val="en-US" w:eastAsia="zh-CN"/>
                    </w:rPr>
                  </w:pPr>
                  <w:r>
                    <w:rPr>
                      <w:rFonts w:hint="eastAsia"/>
                      <w:color w:val="auto"/>
                      <w:szCs w:val="21"/>
                      <w:lang w:val="en-US" w:eastAsia="zh-CN"/>
                    </w:rPr>
                    <w:t>160</w:t>
                  </w:r>
                </w:p>
              </w:tc>
              <w:tc>
                <w:tcPr>
                  <w:tcW w:w="908" w:type="dxa"/>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6C9C6FA3">
                  <w:pPr>
                    <w:adjustRightInd w:val="0"/>
                    <w:snapToGrid w:val="0"/>
                    <w:jc w:val="center"/>
                    <w:rPr>
                      <w:rFonts w:hint="default" w:eastAsia="宋体"/>
                      <w:color w:val="auto"/>
                      <w:szCs w:val="21"/>
                      <w:lang w:val="en-US" w:eastAsia="zh-CN"/>
                    </w:rPr>
                  </w:pPr>
                  <w:r>
                    <w:rPr>
                      <w:rFonts w:hint="eastAsia"/>
                      <w:color w:val="auto"/>
                      <w:szCs w:val="21"/>
                      <w:lang w:val="en-US" w:eastAsia="zh-CN"/>
                    </w:rPr>
                    <w:t>114.4</w:t>
                  </w:r>
                </w:p>
              </w:tc>
              <w:tc>
                <w:tcPr>
                  <w:tcW w:w="972" w:type="dxa"/>
                  <w:tcBorders>
                    <w:top w:val="single" w:color="auto" w:sz="4" w:space="0"/>
                    <w:left w:val="single" w:color="auto" w:sz="4" w:space="0"/>
                    <w:bottom w:val="single" w:color="auto" w:sz="8" w:space="0"/>
                    <w:right w:val="single" w:color="auto" w:sz="4" w:space="0"/>
                  </w:tcBorders>
                  <w:noWrap w:val="0"/>
                  <w:tcMar>
                    <w:top w:w="57" w:type="dxa"/>
                    <w:left w:w="85" w:type="dxa"/>
                    <w:bottom w:w="57" w:type="dxa"/>
                    <w:right w:w="85" w:type="dxa"/>
                  </w:tcMar>
                  <w:vAlign w:val="center"/>
                </w:tcPr>
                <w:p w14:paraId="511A592E">
                  <w:pPr>
                    <w:adjustRightInd w:val="0"/>
                    <w:snapToGrid w:val="0"/>
                    <w:jc w:val="center"/>
                    <w:rPr>
                      <w:rFonts w:hint="eastAsia" w:eastAsia="宋体"/>
                      <w:color w:val="auto"/>
                      <w:szCs w:val="21"/>
                      <w:lang w:val="en-US" w:eastAsia="zh-CN"/>
                    </w:rPr>
                  </w:pPr>
                  <w:r>
                    <w:rPr>
                      <w:rFonts w:hint="eastAsia"/>
                      <w:color w:val="auto"/>
                      <w:szCs w:val="21"/>
                      <w:lang w:val="en-US" w:eastAsia="zh-CN"/>
                    </w:rPr>
                    <w:t>超标</w:t>
                  </w:r>
                </w:p>
              </w:tc>
              <w:tc>
                <w:tcPr>
                  <w:tcW w:w="1038" w:type="dxa"/>
                  <w:tcBorders>
                    <w:top w:val="single" w:color="auto" w:sz="4" w:space="0"/>
                    <w:left w:val="single" w:color="auto" w:sz="4" w:space="0"/>
                    <w:bottom w:val="single" w:color="auto" w:sz="8" w:space="0"/>
                    <w:right w:val="single" w:color="auto" w:sz="4" w:space="0"/>
                  </w:tcBorders>
                  <w:shd w:val="clear" w:color="auto" w:fill="auto"/>
                  <w:noWrap w:val="0"/>
                  <w:tcMar>
                    <w:top w:w="57" w:type="dxa"/>
                    <w:left w:w="85" w:type="dxa"/>
                    <w:bottom w:w="57" w:type="dxa"/>
                    <w:right w:w="85" w:type="dxa"/>
                  </w:tcMar>
                  <w:vAlign w:val="center"/>
                </w:tcPr>
                <w:p w14:paraId="0329C1E0">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kern w:val="2"/>
                      <w:sz w:val="21"/>
                      <w:lang w:val="en-US" w:eastAsia="zh-CN"/>
                    </w:rPr>
                    <w:t>160</w:t>
                  </w:r>
                </w:p>
              </w:tc>
              <w:tc>
                <w:tcPr>
                  <w:tcW w:w="932" w:type="dxa"/>
                  <w:tcBorders>
                    <w:top w:val="single" w:color="auto" w:sz="4" w:space="0"/>
                    <w:left w:val="nil"/>
                    <w:bottom w:val="single" w:color="auto" w:sz="8" w:space="0"/>
                    <w:right w:val="single" w:color="auto" w:sz="4" w:space="0"/>
                  </w:tcBorders>
                  <w:shd w:val="clear" w:color="auto" w:fill="auto"/>
                  <w:noWrap w:val="0"/>
                  <w:tcMar>
                    <w:top w:w="57" w:type="dxa"/>
                    <w:left w:w="85" w:type="dxa"/>
                    <w:bottom w:w="57" w:type="dxa"/>
                    <w:right w:w="85" w:type="dxa"/>
                  </w:tcMar>
                  <w:vAlign w:val="center"/>
                </w:tcPr>
                <w:p w14:paraId="1A338147">
                  <w:pPr>
                    <w:pStyle w:val="22"/>
                    <w:keepNext w:val="0"/>
                    <w:keepLines w:val="0"/>
                    <w:widowControl/>
                    <w:suppressLineNumbers w:val="0"/>
                    <w:bidi w:val="0"/>
                    <w:spacing w:before="0" w:beforeAutospacing="0" w:after="0" w:afterAutospacing="0"/>
                    <w:ind w:left="0" w:leftChars="0" w:right="0" w:rightChars="0" w:firstLine="0" w:firstLineChars="0"/>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olor w:val="auto"/>
                      <w:kern w:val="2"/>
                      <w:sz w:val="21"/>
                      <w:lang w:val="en-US" w:eastAsia="zh-CN"/>
                    </w:rPr>
                    <w:t xml:space="preserve">114.4 </w:t>
                  </w:r>
                </w:p>
              </w:tc>
              <w:tc>
                <w:tcPr>
                  <w:tcW w:w="932" w:type="dxa"/>
                  <w:tcBorders>
                    <w:top w:val="single" w:color="auto" w:sz="4" w:space="0"/>
                    <w:left w:val="nil"/>
                    <w:bottom w:val="single" w:color="auto" w:sz="8" w:space="0"/>
                    <w:right w:val="nil"/>
                  </w:tcBorders>
                  <w:shd w:val="clear" w:color="auto" w:fill="auto"/>
                  <w:noWrap w:val="0"/>
                  <w:tcMar>
                    <w:top w:w="57" w:type="dxa"/>
                    <w:left w:w="85" w:type="dxa"/>
                    <w:bottom w:w="57" w:type="dxa"/>
                    <w:right w:w="85" w:type="dxa"/>
                  </w:tcMar>
                  <w:vAlign w:val="center"/>
                </w:tcPr>
                <w:p w14:paraId="616870E7">
                  <w:pPr>
                    <w:adjustRightInd w:val="0"/>
                    <w:snapToGrid w:val="0"/>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超标</w:t>
                  </w:r>
                </w:p>
              </w:tc>
            </w:tr>
          </w:tbl>
          <w:p w14:paraId="74656DC0">
            <w:pPr>
              <w:keepNext w:val="0"/>
              <w:keepLines w:val="0"/>
              <w:pageBreakBefore w:val="0"/>
              <w:widowControl/>
              <w:kinsoku/>
              <w:wordWrap/>
              <w:overflowPunct/>
              <w:topLinePunct w:val="0"/>
              <w:autoSpaceDE/>
              <w:autoSpaceDN/>
              <w:bidi w:val="0"/>
              <w:adjustRightInd/>
              <w:snapToGrid/>
              <w:spacing w:before="157" w:beforeLines="50" w:line="360" w:lineRule="auto"/>
              <w:ind w:firstLine="480" w:firstLineChars="200"/>
              <w:textAlignment w:val="auto"/>
              <w:rPr>
                <w:rFonts w:hint="default" w:hAnsi="宋体"/>
                <w:color w:val="auto"/>
                <w:kern w:val="0"/>
                <w:sz w:val="24"/>
                <w:lang w:val="en-US" w:eastAsia="zh-CN"/>
              </w:rPr>
            </w:pPr>
            <w:r>
              <w:rPr>
                <w:rFonts w:hAnsi="宋体"/>
                <w:color w:val="auto"/>
                <w:kern w:val="0"/>
                <w:sz w:val="24"/>
              </w:rPr>
              <w:t>由上表可知，</w:t>
            </w:r>
            <w:r>
              <w:rPr>
                <w:rFonts w:hint="eastAsia" w:hAnsi="宋体"/>
                <w:color w:val="auto"/>
                <w:kern w:val="0"/>
                <w:sz w:val="24"/>
                <w:lang w:val="en-US" w:eastAsia="zh-CN"/>
              </w:rPr>
              <w:t>2024年新乡市空气质量</w:t>
            </w:r>
            <w:r>
              <w:rPr>
                <w:rFonts w:hAnsi="宋体"/>
                <w:color w:val="auto"/>
                <w:kern w:val="0"/>
                <w:sz w:val="24"/>
              </w:rPr>
              <w:t>中</w:t>
            </w:r>
            <w:r>
              <w:rPr>
                <w:color w:val="auto"/>
                <w:kern w:val="0"/>
                <w:sz w:val="24"/>
              </w:rPr>
              <w:t>PM</w:t>
            </w:r>
            <w:r>
              <w:rPr>
                <w:color w:val="auto"/>
                <w:kern w:val="0"/>
                <w:sz w:val="24"/>
                <w:vertAlign w:val="subscript"/>
              </w:rPr>
              <w:t>10</w:t>
            </w:r>
            <w:r>
              <w:rPr>
                <w:rFonts w:hAnsi="宋体"/>
                <w:color w:val="auto"/>
                <w:kern w:val="0"/>
                <w:sz w:val="24"/>
              </w:rPr>
              <w:t>、</w:t>
            </w:r>
            <w:r>
              <w:rPr>
                <w:color w:val="auto"/>
                <w:kern w:val="0"/>
                <w:sz w:val="24"/>
              </w:rPr>
              <w:t>PM</w:t>
            </w:r>
            <w:r>
              <w:rPr>
                <w:color w:val="auto"/>
                <w:kern w:val="0"/>
                <w:sz w:val="24"/>
                <w:vertAlign w:val="subscript"/>
              </w:rPr>
              <w:t>2.5</w:t>
            </w:r>
            <w:r>
              <w:rPr>
                <w:rFonts w:hAnsi="宋体"/>
                <w:color w:val="auto"/>
                <w:kern w:val="0"/>
                <w:sz w:val="24"/>
              </w:rPr>
              <w:t>、</w:t>
            </w:r>
            <w:r>
              <w:rPr>
                <w:color w:val="auto"/>
                <w:kern w:val="0"/>
                <w:sz w:val="24"/>
              </w:rPr>
              <w:t>O</w:t>
            </w:r>
            <w:r>
              <w:rPr>
                <w:color w:val="auto"/>
                <w:kern w:val="0"/>
                <w:sz w:val="24"/>
                <w:vertAlign w:val="subscript"/>
              </w:rPr>
              <w:t>3</w:t>
            </w:r>
            <w:r>
              <w:rPr>
                <w:rFonts w:hAnsi="宋体"/>
                <w:color w:val="auto"/>
                <w:kern w:val="0"/>
                <w:sz w:val="24"/>
              </w:rPr>
              <w:t>均不能够满足《环境空气质量标准》（</w:t>
            </w:r>
            <w:r>
              <w:rPr>
                <w:color w:val="auto"/>
                <w:kern w:val="0"/>
                <w:sz w:val="24"/>
              </w:rPr>
              <w:t>GB3095-2012</w:t>
            </w:r>
            <w:r>
              <w:rPr>
                <w:rFonts w:hAnsi="宋体"/>
                <w:color w:val="auto"/>
                <w:kern w:val="0"/>
                <w:sz w:val="24"/>
              </w:rPr>
              <w:t>）二级标准要求</w:t>
            </w:r>
            <w:r>
              <w:rPr>
                <w:rFonts w:hint="eastAsia" w:hAnsi="宋体"/>
                <w:color w:val="auto"/>
                <w:kern w:val="0"/>
                <w:sz w:val="24"/>
                <w:lang w:eastAsia="zh-CN"/>
              </w:rPr>
              <w:t>，</w:t>
            </w:r>
            <w:r>
              <w:rPr>
                <w:rFonts w:hint="eastAsia" w:hAnsi="宋体"/>
                <w:color w:val="auto"/>
                <w:kern w:val="0"/>
                <w:sz w:val="24"/>
                <w:lang w:val="en-US" w:eastAsia="zh-CN"/>
              </w:rPr>
              <w:t>该标准已于2026年3月1日废止，目前执行的是《</w:t>
            </w:r>
            <w:r>
              <w:rPr>
                <w:rFonts w:hAnsi="宋体"/>
                <w:color w:val="auto"/>
                <w:kern w:val="0"/>
                <w:sz w:val="24"/>
              </w:rPr>
              <w:t>环境空气质量标准</w:t>
            </w:r>
            <w:r>
              <w:rPr>
                <w:rFonts w:hint="eastAsia" w:hAnsi="宋体"/>
                <w:color w:val="auto"/>
                <w:kern w:val="0"/>
                <w:sz w:val="24"/>
                <w:lang w:val="en-US" w:eastAsia="zh-CN"/>
              </w:rPr>
              <w:t>》</w:t>
            </w:r>
            <w:r>
              <w:rPr>
                <w:rFonts w:hAnsi="宋体"/>
                <w:color w:val="auto"/>
                <w:kern w:val="0"/>
                <w:sz w:val="24"/>
              </w:rPr>
              <w:t>（</w:t>
            </w:r>
            <w:r>
              <w:rPr>
                <w:color w:val="auto"/>
                <w:kern w:val="0"/>
                <w:sz w:val="24"/>
              </w:rPr>
              <w:t>GB3095-</w:t>
            </w:r>
            <w:r>
              <w:rPr>
                <w:rFonts w:hint="eastAsia"/>
                <w:color w:val="auto"/>
                <w:kern w:val="0"/>
                <w:sz w:val="24"/>
                <w:lang w:val="en-US" w:eastAsia="zh-CN"/>
              </w:rPr>
              <w:t>2026</w:t>
            </w:r>
            <w:r>
              <w:rPr>
                <w:rFonts w:hAnsi="宋体"/>
                <w:color w:val="auto"/>
                <w:kern w:val="0"/>
                <w:sz w:val="24"/>
              </w:rPr>
              <w:t>）二级标准</w:t>
            </w:r>
            <w:r>
              <w:rPr>
                <w:rFonts w:hint="eastAsia" w:hAnsi="宋体"/>
                <w:color w:val="auto"/>
                <w:kern w:val="0"/>
                <w:sz w:val="24"/>
                <w:lang w:val="en-US" w:eastAsia="zh-CN"/>
              </w:rPr>
              <w:t>过渡阶段浓度限值，但上述指标同样不能满足新标准的要求。</w:t>
            </w:r>
          </w:p>
          <w:p w14:paraId="5BCC2527">
            <w:pPr>
              <w:keepNext w:val="0"/>
              <w:keepLines w:val="0"/>
              <w:pageBreakBefore w:val="0"/>
              <w:shd w:val="clear" w:color="auto" w:fill="auto"/>
              <w:kinsoku/>
              <w:wordWrap/>
              <w:overflowPunct/>
              <w:topLinePunct w:val="0"/>
              <w:autoSpaceDE/>
              <w:autoSpaceDN/>
              <w:bidi w:val="0"/>
              <w:adjustRightInd/>
              <w:snapToGrid/>
              <w:spacing w:before="157" w:beforeLines="50" w:line="360" w:lineRule="auto"/>
              <w:ind w:firstLine="480" w:firstLineChars="200"/>
              <w:jc w:val="left"/>
              <w:textAlignment w:val="auto"/>
              <w:rPr>
                <w:color w:val="auto"/>
                <w:sz w:val="24"/>
                <w:u w:val="none"/>
              </w:rPr>
            </w:pPr>
            <w:r>
              <w:rPr>
                <w:rFonts w:hAnsi="宋体"/>
                <w:color w:val="auto"/>
                <w:kern w:val="0"/>
                <w:sz w:val="24"/>
              </w:rPr>
              <w:t>目前，新乡市正在实施新乡市生态环境保护委员会办公室关于印发</w:t>
            </w:r>
            <w:r>
              <w:rPr>
                <w:rFonts w:hint="eastAsia" w:hAnsi="宋体"/>
                <w:color w:val="auto"/>
                <w:kern w:val="0"/>
                <w:sz w:val="24"/>
                <w:lang w:eastAsia="zh-CN"/>
              </w:rPr>
              <w:t>《</w:t>
            </w:r>
            <w:r>
              <w:rPr>
                <w:rFonts w:hAnsi="宋体"/>
                <w:color w:val="auto"/>
                <w:kern w:val="0"/>
                <w:sz w:val="24"/>
              </w:rPr>
              <w:t>新乡市</w:t>
            </w:r>
            <w:r>
              <w:rPr>
                <w:rFonts w:hint="eastAsia" w:hAnsi="宋体"/>
                <w:color w:val="auto"/>
                <w:kern w:val="0"/>
                <w:sz w:val="24"/>
                <w:lang w:val="en-US" w:eastAsia="zh-CN"/>
              </w:rPr>
              <w:t>2026</w:t>
            </w:r>
            <w:r>
              <w:rPr>
                <w:rFonts w:hAnsi="宋体"/>
                <w:color w:val="auto"/>
                <w:kern w:val="0"/>
                <w:sz w:val="24"/>
              </w:rPr>
              <w:t>年蓝天保卫战实施方案</w:t>
            </w:r>
            <w:r>
              <w:rPr>
                <w:rFonts w:hint="eastAsia" w:hAnsi="宋体"/>
                <w:color w:val="auto"/>
                <w:kern w:val="0"/>
                <w:sz w:val="24"/>
              </w:rPr>
              <w:t>》的通知</w:t>
            </w:r>
            <w:r>
              <w:rPr>
                <w:rFonts w:hAnsi="宋体"/>
                <w:color w:val="auto"/>
                <w:kern w:val="0"/>
                <w:sz w:val="24"/>
              </w:rPr>
              <w:t>等一系列措施，实施这些方案将不断改善区域大气环</w:t>
            </w:r>
            <w:r>
              <w:rPr>
                <w:color w:val="auto"/>
                <w:sz w:val="24"/>
                <w:u w:val="none"/>
              </w:rPr>
              <w:t>境质量。</w:t>
            </w:r>
          </w:p>
          <w:p w14:paraId="5C9DE2CB">
            <w:pPr>
              <w:keepNext w:val="0"/>
              <w:keepLines w:val="0"/>
              <w:pageBreakBefore w:val="0"/>
              <w:shd w:val="clear" w:color="auto" w:fill="auto"/>
              <w:kinsoku/>
              <w:wordWrap/>
              <w:overflowPunct/>
              <w:topLinePunct w:val="0"/>
              <w:autoSpaceDE/>
              <w:autoSpaceDN/>
              <w:bidi w:val="0"/>
              <w:adjustRightInd/>
              <w:snapToGrid/>
              <w:spacing w:before="157" w:beforeLines="50" w:line="360" w:lineRule="auto"/>
              <w:ind w:firstLine="482" w:firstLineChars="200"/>
              <w:jc w:val="left"/>
              <w:textAlignment w:val="auto"/>
              <w:rPr>
                <w:b/>
                <w:bCs/>
                <w:color w:val="auto"/>
                <w:sz w:val="24"/>
                <w:highlight w:val="none"/>
              </w:rPr>
            </w:pPr>
            <w:r>
              <w:rPr>
                <w:b/>
                <w:bCs/>
                <w:color w:val="auto"/>
                <w:sz w:val="24"/>
                <w:highlight w:val="none"/>
              </w:rPr>
              <w:t>2</w:t>
            </w:r>
            <w:r>
              <w:rPr>
                <w:rFonts w:hAnsi="宋体"/>
                <w:b/>
                <w:bCs/>
                <w:color w:val="auto"/>
                <w:sz w:val="24"/>
                <w:highlight w:val="none"/>
              </w:rPr>
              <w:t>、地表水质量现状</w:t>
            </w:r>
          </w:p>
          <w:p w14:paraId="23F3BDE6">
            <w:pPr>
              <w:keepNext w:val="0"/>
              <w:keepLines w:val="0"/>
              <w:pageBreakBefore w:val="0"/>
              <w:shd w:val="clear" w:color="auto" w:fill="auto"/>
              <w:kinsoku/>
              <w:wordWrap/>
              <w:overflowPunct/>
              <w:topLinePunct w:val="0"/>
              <w:autoSpaceDE/>
              <w:autoSpaceDN/>
              <w:bidi w:val="0"/>
              <w:adjustRightInd/>
              <w:snapToGrid/>
              <w:spacing w:before="157" w:beforeLines="50" w:line="360" w:lineRule="auto"/>
              <w:ind w:firstLine="480" w:firstLineChars="200"/>
              <w:jc w:val="left"/>
              <w:textAlignment w:val="auto"/>
              <w:rPr>
                <w:color w:val="auto"/>
                <w:sz w:val="24"/>
                <w:highlight w:val="none"/>
              </w:rPr>
            </w:pPr>
            <w:r>
              <w:rPr>
                <w:rFonts w:hint="eastAsia"/>
                <w:color w:val="auto"/>
                <w:sz w:val="24"/>
                <w:highlight w:val="none"/>
              </w:rPr>
              <w:t>本项目</w:t>
            </w:r>
            <w:r>
              <w:rPr>
                <w:rFonts w:hint="eastAsia"/>
                <w:color w:val="auto"/>
                <w:sz w:val="24"/>
                <w:highlight w:val="none"/>
                <w:lang w:val="en-US" w:eastAsia="zh-CN"/>
              </w:rPr>
              <w:t>无生产废水</w:t>
            </w:r>
            <w:r>
              <w:rPr>
                <w:rFonts w:hint="eastAsia"/>
                <w:color w:val="auto"/>
                <w:sz w:val="24"/>
                <w:highlight w:val="none"/>
                <w:shd w:val="clear" w:color="auto" w:fill="auto"/>
                <w:lang w:val="en-US" w:eastAsia="zh-CN"/>
              </w:rPr>
              <w:t>外排。距离本项目最近的地表水体是东侧2.9km的文岩五支渠，属于文岩渠支流。</w:t>
            </w:r>
            <w:r>
              <w:rPr>
                <w:bCs/>
                <w:color w:val="auto"/>
                <w:sz w:val="24"/>
                <w:highlight w:val="none"/>
              </w:rPr>
              <w:t>根据《</w:t>
            </w:r>
            <w:r>
              <w:rPr>
                <w:rFonts w:hint="eastAsia"/>
                <w:bCs/>
                <w:color w:val="auto"/>
                <w:sz w:val="24"/>
                <w:highlight w:val="none"/>
              </w:rPr>
              <w:t>新乡市生态环境局关于下达</w:t>
            </w:r>
            <w:r>
              <w:rPr>
                <w:rFonts w:hint="eastAsia"/>
                <w:bCs/>
                <w:color w:val="auto"/>
                <w:sz w:val="24"/>
                <w:highlight w:val="none"/>
                <w:lang w:val="en-US" w:eastAsia="zh-CN"/>
              </w:rPr>
              <w:t>2025年地表水环境质量目标</w:t>
            </w:r>
            <w:r>
              <w:rPr>
                <w:bCs/>
                <w:color w:val="auto"/>
                <w:sz w:val="24"/>
                <w:highlight w:val="none"/>
              </w:rPr>
              <w:t>》，</w:t>
            </w:r>
            <w:r>
              <w:rPr>
                <w:rFonts w:hint="eastAsia"/>
                <w:bCs/>
                <w:color w:val="auto"/>
                <w:sz w:val="24"/>
                <w:highlight w:val="none"/>
                <w:shd w:val="clear" w:color="auto" w:fill="auto"/>
                <w:lang w:val="en-US" w:eastAsia="zh-CN"/>
              </w:rPr>
              <w:t>文岩渠</w:t>
            </w:r>
            <w:r>
              <w:rPr>
                <w:bCs/>
                <w:color w:val="auto"/>
                <w:sz w:val="24"/>
                <w:highlight w:val="none"/>
                <w:shd w:val="clear" w:color="auto" w:fill="auto"/>
              </w:rPr>
              <w:t>水体功能类别为</w:t>
            </w:r>
            <w:r>
              <w:rPr>
                <w:rFonts w:hint="default" w:ascii="Times New Roman" w:hAnsi="Times New Roman" w:eastAsia="微软雅黑" w:cs="Times New Roman"/>
                <w:bCs/>
                <w:color w:val="auto"/>
                <w:sz w:val="24"/>
                <w:highlight w:val="none"/>
                <w:shd w:val="clear" w:color="auto" w:fill="auto"/>
              </w:rPr>
              <w:t>Ⅲ</w:t>
            </w:r>
            <w:r>
              <w:rPr>
                <w:bCs/>
                <w:color w:val="auto"/>
                <w:sz w:val="24"/>
                <w:highlight w:val="none"/>
                <w:shd w:val="clear" w:color="auto" w:fill="auto"/>
              </w:rPr>
              <w:t>类标准。</w:t>
            </w:r>
            <w:r>
              <w:rPr>
                <w:color w:val="auto"/>
                <w:sz w:val="24"/>
                <w:highlight w:val="none"/>
                <w:shd w:val="clear" w:color="auto" w:fill="auto"/>
              </w:rPr>
              <w:t>根据新乡市环境监测站对</w:t>
            </w:r>
            <w:r>
              <w:rPr>
                <w:rFonts w:hint="eastAsia"/>
                <w:color w:val="auto"/>
                <w:sz w:val="24"/>
                <w:highlight w:val="none"/>
                <w:shd w:val="clear" w:color="auto" w:fill="auto"/>
                <w:lang w:val="en-US" w:eastAsia="zh-CN"/>
              </w:rPr>
              <w:t>文岩渠东竹村</w:t>
            </w:r>
            <w:r>
              <w:rPr>
                <w:color w:val="auto"/>
                <w:sz w:val="24"/>
                <w:highlight w:val="none"/>
                <w:shd w:val="clear" w:color="auto" w:fill="auto"/>
              </w:rPr>
              <w:t>断面的监测</w:t>
            </w:r>
            <w:r>
              <w:rPr>
                <w:rFonts w:hint="eastAsia"/>
                <w:color w:val="auto"/>
                <w:sz w:val="24"/>
                <w:highlight w:val="none"/>
                <w:shd w:val="clear" w:color="auto" w:fill="auto"/>
                <w:lang w:val="en-US" w:eastAsia="zh-CN"/>
              </w:rPr>
              <w:t>2025</w:t>
            </w:r>
            <w:r>
              <w:rPr>
                <w:color w:val="auto"/>
                <w:sz w:val="24"/>
                <w:highlight w:val="none"/>
                <w:shd w:val="clear" w:color="auto" w:fill="auto"/>
              </w:rPr>
              <w:t>年</w:t>
            </w:r>
            <w:r>
              <w:rPr>
                <w:rFonts w:hint="eastAsia"/>
                <w:color w:val="auto"/>
                <w:sz w:val="24"/>
                <w:highlight w:val="none"/>
                <w:shd w:val="clear" w:color="auto" w:fill="auto"/>
                <w:lang w:val="en-US" w:eastAsia="zh-CN"/>
              </w:rPr>
              <w:t>1-12</w:t>
            </w:r>
            <w:r>
              <w:rPr>
                <w:color w:val="auto"/>
                <w:sz w:val="24"/>
                <w:highlight w:val="none"/>
                <w:shd w:val="clear" w:color="auto" w:fill="auto"/>
              </w:rPr>
              <w:t>月周报数据见下表。</w:t>
            </w:r>
          </w:p>
          <w:p w14:paraId="43C756C4">
            <w:pPr>
              <w:keepNext w:val="0"/>
              <w:keepLines w:val="0"/>
              <w:pageBreakBefore w:val="0"/>
              <w:kinsoku/>
              <w:wordWrap/>
              <w:overflowPunct/>
              <w:topLinePunct w:val="0"/>
              <w:autoSpaceDE/>
              <w:autoSpaceDN/>
              <w:bidi w:val="0"/>
              <w:adjustRightInd/>
              <w:snapToGrid/>
              <w:spacing w:before="157" w:beforeLines="50" w:line="360" w:lineRule="auto"/>
              <w:jc w:val="center"/>
              <w:textAlignment w:val="auto"/>
              <w:rPr>
                <w:rFonts w:hint="default" w:ascii="Times New Roman" w:hAnsi="Times New Roman" w:eastAsia="黑体" w:cs="Times New Roman"/>
                <w:bCs/>
                <w:color w:val="auto"/>
                <w:kern w:val="2"/>
                <w:sz w:val="24"/>
                <w:szCs w:val="24"/>
                <w:lang w:val="en-US" w:eastAsia="zh-CN" w:bidi="ar-SA"/>
              </w:rPr>
            </w:pPr>
            <w:r>
              <w:rPr>
                <w:rFonts w:hint="default" w:ascii="Times New Roman" w:hAnsi="Times New Roman" w:eastAsia="黑体" w:cs="Times New Roman"/>
                <w:bCs/>
                <w:color w:val="auto"/>
                <w:kern w:val="2"/>
                <w:sz w:val="24"/>
                <w:szCs w:val="24"/>
                <w:lang w:val="en-US" w:eastAsia="zh-CN" w:bidi="ar-SA"/>
              </w:rPr>
              <w:t>表</w:t>
            </w:r>
            <w:r>
              <w:rPr>
                <w:rFonts w:hint="eastAsia" w:eastAsia="黑体" w:cs="Times New Roman"/>
                <w:bCs/>
                <w:color w:val="auto"/>
                <w:kern w:val="2"/>
                <w:sz w:val="24"/>
                <w:szCs w:val="24"/>
                <w:lang w:val="en-US" w:eastAsia="zh-CN" w:bidi="ar-SA"/>
              </w:rPr>
              <w:t>13</w:t>
            </w:r>
            <w:r>
              <w:rPr>
                <w:rFonts w:hint="default" w:ascii="Times New Roman" w:hAnsi="Times New Roman" w:eastAsia="黑体" w:cs="Times New Roman"/>
                <w:bCs/>
                <w:color w:val="auto"/>
                <w:kern w:val="2"/>
                <w:sz w:val="24"/>
                <w:szCs w:val="24"/>
                <w:lang w:val="en-US" w:eastAsia="zh-CN" w:bidi="ar-SA"/>
              </w:rPr>
              <w:t xml:space="preserve">     文岩渠东竹村断面监测数据</w:t>
            </w:r>
            <w:r>
              <w:rPr>
                <w:rFonts w:hint="eastAsia" w:ascii="Times New Roman" w:hAnsi="Times New Roman" w:eastAsia="黑体" w:cs="Times New Roman"/>
                <w:bCs/>
                <w:color w:val="auto"/>
                <w:kern w:val="2"/>
                <w:sz w:val="24"/>
                <w:szCs w:val="24"/>
                <w:lang w:val="en-US" w:eastAsia="zh-CN" w:bidi="ar-SA"/>
              </w:rPr>
              <w:t>（2025年全年均值）</w:t>
            </w:r>
            <w:r>
              <w:rPr>
                <w:rFonts w:hint="default" w:ascii="Times New Roman" w:hAnsi="Times New Roman" w:eastAsia="黑体" w:cs="Times New Roman"/>
                <w:bCs/>
                <w:color w:val="auto"/>
                <w:kern w:val="2"/>
                <w:sz w:val="24"/>
                <w:szCs w:val="24"/>
                <w:lang w:val="en-US" w:eastAsia="zh-CN" w:bidi="ar-SA"/>
              </w:rPr>
              <w:t xml:space="preserve">     单位：mg/L</w:t>
            </w:r>
          </w:p>
          <w:tbl>
            <w:tblPr>
              <w:tblStyle w:val="17"/>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35"/>
              <w:gridCol w:w="2285"/>
              <w:gridCol w:w="2163"/>
              <w:gridCol w:w="2021"/>
            </w:tblGrid>
            <w:tr w14:paraId="71CC0E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8" w:space="0"/>
                    <w:bottom w:val="single" w:color="auto" w:sz="8" w:space="0"/>
                  </w:tcBorders>
                  <w:noWrap w:val="0"/>
                  <w:vAlign w:val="center"/>
                </w:tcPr>
                <w:p w14:paraId="5C3703FE">
                  <w:pPr>
                    <w:shd w:val="clear" w:color="auto" w:fill="auto"/>
                    <w:adjustRightInd w:val="0"/>
                    <w:snapToGrid w:val="0"/>
                    <w:jc w:val="center"/>
                    <w:rPr>
                      <w:b/>
                      <w:color w:val="auto"/>
                      <w:szCs w:val="21"/>
                    </w:rPr>
                  </w:pPr>
                  <w:r>
                    <w:rPr>
                      <w:b/>
                      <w:color w:val="auto"/>
                      <w:szCs w:val="21"/>
                    </w:rPr>
                    <w:t>监测因子</w:t>
                  </w:r>
                </w:p>
              </w:tc>
              <w:tc>
                <w:tcPr>
                  <w:tcW w:w="2410" w:type="dxa"/>
                  <w:tcBorders>
                    <w:top w:val="single" w:color="auto" w:sz="8" w:space="0"/>
                    <w:bottom w:val="single" w:color="auto" w:sz="8" w:space="0"/>
                  </w:tcBorders>
                  <w:noWrap w:val="0"/>
                  <w:vAlign w:val="center"/>
                </w:tcPr>
                <w:p w14:paraId="132E6141">
                  <w:pPr>
                    <w:shd w:val="clear" w:color="auto" w:fill="auto"/>
                    <w:adjustRightInd w:val="0"/>
                    <w:snapToGrid w:val="0"/>
                    <w:jc w:val="center"/>
                    <w:rPr>
                      <w:b/>
                      <w:color w:val="auto"/>
                      <w:szCs w:val="21"/>
                    </w:rPr>
                  </w:pPr>
                  <w:r>
                    <w:rPr>
                      <w:b/>
                      <w:color w:val="auto"/>
                      <w:szCs w:val="21"/>
                    </w:rPr>
                    <w:t>COD</w:t>
                  </w:r>
                </w:p>
              </w:tc>
              <w:tc>
                <w:tcPr>
                  <w:tcW w:w="2268" w:type="dxa"/>
                  <w:tcBorders>
                    <w:top w:val="single" w:color="auto" w:sz="8" w:space="0"/>
                    <w:bottom w:val="single" w:color="auto" w:sz="8" w:space="0"/>
                  </w:tcBorders>
                  <w:noWrap w:val="0"/>
                  <w:vAlign w:val="center"/>
                </w:tcPr>
                <w:p w14:paraId="74A0B9A9">
                  <w:pPr>
                    <w:shd w:val="clear" w:color="auto" w:fill="auto"/>
                    <w:adjustRightInd w:val="0"/>
                    <w:snapToGrid w:val="0"/>
                    <w:jc w:val="center"/>
                    <w:rPr>
                      <w:b/>
                      <w:color w:val="auto"/>
                      <w:szCs w:val="21"/>
                    </w:rPr>
                  </w:pPr>
                  <w:r>
                    <w:rPr>
                      <w:b/>
                      <w:color w:val="auto"/>
                      <w:szCs w:val="21"/>
                    </w:rPr>
                    <w:t>NH</w:t>
                  </w:r>
                  <w:r>
                    <w:rPr>
                      <w:b/>
                      <w:color w:val="auto"/>
                      <w:szCs w:val="21"/>
                      <w:vertAlign w:val="subscript"/>
                    </w:rPr>
                    <w:t>3</w:t>
                  </w:r>
                  <w:r>
                    <w:rPr>
                      <w:b/>
                      <w:color w:val="auto"/>
                      <w:szCs w:val="21"/>
                    </w:rPr>
                    <w:t>-N</w:t>
                  </w:r>
                </w:p>
              </w:tc>
              <w:tc>
                <w:tcPr>
                  <w:tcW w:w="2125" w:type="dxa"/>
                  <w:tcBorders>
                    <w:top w:val="single" w:color="auto" w:sz="8" w:space="0"/>
                    <w:bottom w:val="single" w:color="auto" w:sz="8" w:space="0"/>
                  </w:tcBorders>
                  <w:noWrap w:val="0"/>
                  <w:vAlign w:val="center"/>
                </w:tcPr>
                <w:p w14:paraId="39488069">
                  <w:pPr>
                    <w:shd w:val="clear" w:color="auto" w:fill="auto"/>
                    <w:adjustRightInd w:val="0"/>
                    <w:snapToGrid w:val="0"/>
                    <w:jc w:val="center"/>
                    <w:rPr>
                      <w:b/>
                      <w:color w:val="auto"/>
                      <w:szCs w:val="21"/>
                    </w:rPr>
                  </w:pPr>
                  <w:r>
                    <w:rPr>
                      <w:b/>
                      <w:color w:val="auto"/>
                      <w:szCs w:val="21"/>
                    </w:rPr>
                    <w:t>TP</w:t>
                  </w:r>
                </w:p>
              </w:tc>
            </w:tr>
            <w:tr w14:paraId="60637F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top w:val="single" w:color="auto" w:sz="8" w:space="0"/>
                  </w:tcBorders>
                  <w:noWrap w:val="0"/>
                  <w:vAlign w:val="center"/>
                </w:tcPr>
                <w:p w14:paraId="7AA1EB80">
                  <w:pPr>
                    <w:shd w:val="clear" w:color="auto" w:fill="auto"/>
                    <w:adjustRightInd w:val="0"/>
                    <w:snapToGrid w:val="0"/>
                    <w:jc w:val="center"/>
                    <w:rPr>
                      <w:color w:val="auto"/>
                      <w:szCs w:val="21"/>
                    </w:rPr>
                  </w:pPr>
                  <w:r>
                    <w:rPr>
                      <w:color w:val="auto"/>
                      <w:szCs w:val="21"/>
                    </w:rPr>
                    <w:t>监测数据</w:t>
                  </w:r>
                </w:p>
              </w:tc>
              <w:tc>
                <w:tcPr>
                  <w:tcW w:w="2410" w:type="dxa"/>
                  <w:tcBorders>
                    <w:top w:val="single" w:color="auto" w:sz="8" w:space="0"/>
                  </w:tcBorders>
                  <w:noWrap w:val="0"/>
                  <w:vAlign w:val="center"/>
                </w:tcPr>
                <w:p w14:paraId="0EBA2F8F">
                  <w:pPr>
                    <w:shd w:val="clear" w:color="auto" w:fill="auto"/>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21.3</w:t>
                  </w:r>
                </w:p>
              </w:tc>
              <w:tc>
                <w:tcPr>
                  <w:tcW w:w="2268" w:type="dxa"/>
                  <w:tcBorders>
                    <w:top w:val="single" w:color="auto" w:sz="8" w:space="0"/>
                  </w:tcBorders>
                  <w:noWrap w:val="0"/>
                  <w:vAlign w:val="center"/>
                </w:tcPr>
                <w:p w14:paraId="15FE2027">
                  <w:pPr>
                    <w:shd w:val="clear" w:color="auto" w:fill="auto"/>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0.85</w:t>
                  </w:r>
                </w:p>
              </w:tc>
              <w:tc>
                <w:tcPr>
                  <w:tcW w:w="2125" w:type="dxa"/>
                  <w:tcBorders>
                    <w:top w:val="single" w:color="auto" w:sz="8" w:space="0"/>
                  </w:tcBorders>
                  <w:noWrap w:val="0"/>
                  <w:vAlign w:val="center"/>
                </w:tcPr>
                <w:p w14:paraId="6EF8C681">
                  <w:pPr>
                    <w:shd w:val="clear" w:color="auto" w:fill="auto"/>
                    <w:adjustRightInd w:val="0"/>
                    <w:snapToGrid w:val="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0.174</w:t>
                  </w:r>
                </w:p>
              </w:tc>
            </w:tr>
            <w:tr w14:paraId="0595D30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noWrap w:val="0"/>
                  <w:vAlign w:val="center"/>
                </w:tcPr>
                <w:p w14:paraId="1E215A03">
                  <w:pPr>
                    <w:shd w:val="clear" w:color="auto" w:fill="auto"/>
                    <w:adjustRightInd w:val="0"/>
                    <w:snapToGrid w:val="0"/>
                    <w:jc w:val="center"/>
                    <w:rPr>
                      <w:color w:val="auto"/>
                      <w:szCs w:val="21"/>
                    </w:rPr>
                  </w:pPr>
                  <w:r>
                    <w:rPr>
                      <w:color w:val="auto"/>
                      <w:szCs w:val="21"/>
                    </w:rPr>
                    <w:t>断面标准</w:t>
                  </w:r>
                </w:p>
              </w:tc>
              <w:tc>
                <w:tcPr>
                  <w:tcW w:w="2410" w:type="dxa"/>
                  <w:noWrap w:val="0"/>
                  <w:vAlign w:val="center"/>
                </w:tcPr>
                <w:p w14:paraId="5CCC1594">
                  <w:pPr>
                    <w:shd w:val="clear" w:color="auto" w:fill="auto"/>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20</w:t>
                  </w:r>
                </w:p>
              </w:tc>
              <w:tc>
                <w:tcPr>
                  <w:tcW w:w="2268" w:type="dxa"/>
                  <w:noWrap w:val="0"/>
                  <w:vAlign w:val="center"/>
                </w:tcPr>
                <w:p w14:paraId="17BA5172">
                  <w:pPr>
                    <w:shd w:val="clear" w:color="auto" w:fill="auto"/>
                    <w:adjustRightInd w:val="0"/>
                    <w:snapToGrid w:val="0"/>
                    <w:jc w:val="center"/>
                    <w:rPr>
                      <w:rFonts w:hint="default" w:cs="Times New Roman"/>
                      <w:color w:val="auto"/>
                      <w:szCs w:val="21"/>
                      <w:lang w:val="en-US" w:eastAsia="zh-CN"/>
                    </w:rPr>
                  </w:pPr>
                  <w:r>
                    <w:rPr>
                      <w:rFonts w:hint="eastAsia" w:cs="Times New Roman"/>
                      <w:color w:val="auto"/>
                      <w:szCs w:val="21"/>
                      <w:lang w:val="en-US" w:eastAsia="zh-CN"/>
                    </w:rPr>
                    <w:t>1</w:t>
                  </w:r>
                </w:p>
              </w:tc>
              <w:tc>
                <w:tcPr>
                  <w:tcW w:w="2125" w:type="dxa"/>
                  <w:noWrap w:val="0"/>
                  <w:vAlign w:val="center"/>
                </w:tcPr>
                <w:p w14:paraId="5126C4E3">
                  <w:pPr>
                    <w:shd w:val="clear" w:color="auto" w:fill="auto"/>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0.2</w:t>
                  </w:r>
                </w:p>
              </w:tc>
            </w:tr>
            <w:tr w14:paraId="35C94F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69" w:type="dxa"/>
                  <w:tcBorders>
                    <w:bottom w:val="single" w:color="auto" w:sz="8" w:space="0"/>
                  </w:tcBorders>
                  <w:noWrap w:val="0"/>
                  <w:vAlign w:val="center"/>
                </w:tcPr>
                <w:p w14:paraId="4E257349">
                  <w:pPr>
                    <w:shd w:val="clear" w:color="auto" w:fill="auto"/>
                    <w:adjustRightInd w:val="0"/>
                    <w:snapToGrid w:val="0"/>
                    <w:jc w:val="center"/>
                    <w:rPr>
                      <w:color w:val="auto"/>
                      <w:szCs w:val="21"/>
                    </w:rPr>
                  </w:pPr>
                  <w:r>
                    <w:rPr>
                      <w:color w:val="auto"/>
                      <w:szCs w:val="21"/>
                    </w:rPr>
                    <w:t>达标情况</w:t>
                  </w:r>
                </w:p>
              </w:tc>
              <w:tc>
                <w:tcPr>
                  <w:tcW w:w="2410" w:type="dxa"/>
                  <w:tcBorders>
                    <w:bottom w:val="single" w:color="auto" w:sz="8" w:space="0"/>
                  </w:tcBorders>
                  <w:noWrap w:val="0"/>
                  <w:vAlign w:val="center"/>
                </w:tcPr>
                <w:p w14:paraId="2F011A46">
                  <w:pPr>
                    <w:shd w:val="clear" w:color="auto" w:fill="auto"/>
                    <w:adjustRightInd w:val="0"/>
                    <w:snapToGrid w:val="0"/>
                    <w:jc w:val="center"/>
                    <w:rPr>
                      <w:color w:val="auto"/>
                      <w:szCs w:val="21"/>
                    </w:rPr>
                  </w:pPr>
                  <w:r>
                    <w:rPr>
                      <w:rFonts w:hint="eastAsia"/>
                      <w:color w:val="auto"/>
                      <w:szCs w:val="21"/>
                      <w:lang w:val="en-US" w:eastAsia="zh-CN"/>
                    </w:rPr>
                    <w:t>超标</w:t>
                  </w:r>
                </w:p>
              </w:tc>
              <w:tc>
                <w:tcPr>
                  <w:tcW w:w="2268" w:type="dxa"/>
                  <w:tcBorders>
                    <w:bottom w:val="single" w:color="auto" w:sz="8" w:space="0"/>
                  </w:tcBorders>
                  <w:noWrap w:val="0"/>
                  <w:vAlign w:val="center"/>
                </w:tcPr>
                <w:p w14:paraId="0C022AE6">
                  <w:pPr>
                    <w:shd w:val="clear" w:color="auto" w:fill="auto"/>
                    <w:adjustRightInd w:val="0"/>
                    <w:snapToGrid w:val="0"/>
                    <w:jc w:val="center"/>
                    <w:rPr>
                      <w:color w:val="auto"/>
                      <w:szCs w:val="21"/>
                    </w:rPr>
                  </w:pPr>
                  <w:r>
                    <w:rPr>
                      <w:color w:val="auto"/>
                      <w:szCs w:val="21"/>
                    </w:rPr>
                    <w:t>达标</w:t>
                  </w:r>
                </w:p>
              </w:tc>
              <w:tc>
                <w:tcPr>
                  <w:tcW w:w="2125" w:type="dxa"/>
                  <w:tcBorders>
                    <w:bottom w:val="single" w:color="auto" w:sz="8" w:space="0"/>
                  </w:tcBorders>
                  <w:noWrap w:val="0"/>
                  <w:vAlign w:val="center"/>
                </w:tcPr>
                <w:p w14:paraId="33683C11">
                  <w:pPr>
                    <w:shd w:val="clear" w:color="auto" w:fill="auto"/>
                    <w:adjustRightInd w:val="0"/>
                    <w:snapToGrid w:val="0"/>
                    <w:jc w:val="center"/>
                    <w:rPr>
                      <w:color w:val="auto"/>
                      <w:szCs w:val="21"/>
                    </w:rPr>
                  </w:pPr>
                  <w:r>
                    <w:rPr>
                      <w:color w:val="auto"/>
                      <w:szCs w:val="21"/>
                    </w:rPr>
                    <w:t>达标</w:t>
                  </w:r>
                </w:p>
              </w:tc>
            </w:tr>
          </w:tbl>
          <w:p w14:paraId="0873E51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highlight w:val="none"/>
                <w:lang w:val="pt-BR"/>
              </w:rPr>
            </w:pPr>
            <w:r>
              <w:rPr>
                <w:rFonts w:hint="eastAsia" w:ascii="Times New Roman" w:hAnsi="Times New Roman" w:eastAsia="宋体" w:cs="Times New Roman"/>
                <w:color w:val="auto"/>
                <w:sz w:val="24"/>
                <w:highlight w:val="none"/>
                <w:lang w:val="pt-BR"/>
              </w:rPr>
              <w:t>由上表可知，</w:t>
            </w:r>
            <w:r>
              <w:rPr>
                <w:rFonts w:hint="eastAsia" w:ascii="Times New Roman" w:hAnsi="Times New Roman" w:eastAsia="宋体" w:cs="Times New Roman"/>
                <w:color w:val="auto"/>
                <w:sz w:val="24"/>
                <w:highlight w:val="none"/>
                <w:lang w:val="en-US" w:eastAsia="zh-CN"/>
              </w:rPr>
              <w:t>2025</w:t>
            </w:r>
            <w:r>
              <w:rPr>
                <w:rFonts w:hint="eastAsia" w:ascii="Times New Roman" w:hAnsi="Times New Roman" w:eastAsia="宋体" w:cs="Times New Roman"/>
                <w:color w:val="auto"/>
                <w:sz w:val="24"/>
                <w:highlight w:val="none"/>
                <w:lang w:val="pt-BR"/>
              </w:rPr>
              <w:t>年</w:t>
            </w:r>
            <w:r>
              <w:rPr>
                <w:rFonts w:hint="eastAsia" w:ascii="Times New Roman" w:hAnsi="Times New Roman" w:eastAsia="宋体" w:cs="Times New Roman"/>
                <w:color w:val="auto"/>
                <w:sz w:val="24"/>
                <w:highlight w:val="none"/>
                <w:lang w:val="en-US" w:eastAsia="zh-CN"/>
              </w:rPr>
              <w:t>全年均值文岩渠东竹村</w:t>
            </w:r>
            <w:r>
              <w:rPr>
                <w:rFonts w:hint="eastAsia" w:ascii="Times New Roman" w:hAnsi="Times New Roman" w:eastAsia="宋体" w:cs="Times New Roman"/>
                <w:color w:val="auto"/>
                <w:sz w:val="24"/>
                <w:highlight w:val="none"/>
                <w:lang w:val="pt-BR"/>
              </w:rPr>
              <w:t>断面</w:t>
            </w:r>
            <w:r>
              <w:rPr>
                <w:rFonts w:hint="eastAsia" w:cs="Times New Roman"/>
                <w:color w:val="auto"/>
                <w:sz w:val="24"/>
                <w:highlight w:val="none"/>
                <w:lang w:val="en-US" w:eastAsia="zh-CN"/>
              </w:rPr>
              <w:t>年均值</w:t>
            </w:r>
            <w:r>
              <w:rPr>
                <w:rFonts w:hint="eastAsia" w:ascii="Times New Roman" w:hAnsi="Times New Roman" w:eastAsia="宋体" w:cs="Times New Roman"/>
                <w:color w:val="auto"/>
                <w:sz w:val="24"/>
                <w:highlight w:val="none"/>
                <w:lang w:val="en-US" w:eastAsia="zh-CN"/>
              </w:rPr>
              <w:t>中COD不满足文岩渠</w:t>
            </w:r>
            <w:r>
              <w:rPr>
                <w:rFonts w:hint="default" w:ascii="Times New Roman" w:hAnsi="Times New Roman" w:eastAsia="宋体" w:cs="Times New Roman"/>
                <w:color w:val="auto"/>
                <w:sz w:val="24"/>
                <w:highlight w:val="none"/>
                <w:lang w:val="pt-BR"/>
              </w:rPr>
              <w:t>Ⅲ</w:t>
            </w:r>
            <w:r>
              <w:rPr>
                <w:rFonts w:hint="eastAsia" w:ascii="Times New Roman" w:hAnsi="Times New Roman" w:eastAsia="宋体" w:cs="Times New Roman"/>
                <w:color w:val="auto"/>
                <w:sz w:val="24"/>
                <w:highlight w:val="none"/>
                <w:lang w:val="pt-BR"/>
              </w:rPr>
              <w:t>类水体COD</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lang w:val="pt-BR"/>
              </w:rPr>
              <w:t>20mg/L的标准。目前新乡市正在实施《新乡市生态环境保护委员会办公室关于印发&lt;新乡市</w:t>
            </w:r>
            <w:r>
              <w:rPr>
                <w:rFonts w:hint="eastAsia" w:cs="Times New Roman"/>
                <w:color w:val="auto"/>
                <w:sz w:val="24"/>
                <w:highlight w:val="none"/>
                <w:lang w:val="en-US" w:eastAsia="zh-CN"/>
              </w:rPr>
              <w:t>2026</w:t>
            </w:r>
            <w:r>
              <w:rPr>
                <w:rFonts w:hint="eastAsia" w:ascii="Times New Roman" w:hAnsi="Times New Roman" w:eastAsia="宋体" w:cs="Times New Roman"/>
                <w:color w:val="auto"/>
                <w:sz w:val="24"/>
                <w:highlight w:val="none"/>
                <w:lang w:val="pt-BR"/>
              </w:rPr>
              <w:t>年碧水保卫战实施方案&gt;的通知》，将不断改善区域水环境质量。</w:t>
            </w:r>
          </w:p>
          <w:p w14:paraId="4FBC8C74">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eastAsia"/>
                <w:b/>
                <w:color w:val="auto"/>
                <w:kern w:val="0"/>
                <w:sz w:val="24"/>
                <w:highlight w:val="none"/>
              </w:rPr>
            </w:pPr>
            <w:r>
              <w:rPr>
                <w:rFonts w:hint="eastAsia"/>
                <w:b/>
                <w:color w:val="auto"/>
                <w:kern w:val="0"/>
                <w:sz w:val="24"/>
                <w:highlight w:val="none"/>
              </w:rPr>
              <w:t>3</w:t>
            </w:r>
            <w:r>
              <w:rPr>
                <w:b/>
                <w:color w:val="auto"/>
                <w:kern w:val="0"/>
                <w:sz w:val="24"/>
                <w:highlight w:val="none"/>
              </w:rPr>
              <w:t>、声环境</w:t>
            </w:r>
          </w:p>
          <w:p w14:paraId="07735B2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本项目位于河南省新乡市延津县石婆固乡西秦庄村012号，属于</w:t>
            </w:r>
            <w:r>
              <w:rPr>
                <w:rFonts w:hint="eastAsia" w:cs="Times New Roman"/>
                <w:color w:val="auto"/>
                <w:sz w:val="24"/>
                <w:lang w:val="en-US" w:eastAsia="zh-CN"/>
              </w:rPr>
              <w:t>1</w:t>
            </w:r>
            <w:r>
              <w:rPr>
                <w:rFonts w:hint="default" w:ascii="Times New Roman" w:hAnsi="Times New Roman" w:eastAsia="宋体" w:cs="Times New Roman"/>
                <w:color w:val="auto"/>
                <w:sz w:val="24"/>
                <w:lang w:val="en-US" w:eastAsia="zh-CN"/>
              </w:rPr>
              <w:t>类声环境功能区</w:t>
            </w:r>
            <w:r>
              <w:rPr>
                <w:rFonts w:hint="eastAsia" w:ascii="Times New Roman" w:hAnsi="Times New Roman" w:eastAsia="宋体" w:cs="Times New Roman"/>
                <w:color w:val="auto"/>
                <w:sz w:val="24"/>
                <w:lang w:val="en-US" w:eastAsia="zh-CN"/>
              </w:rPr>
              <w:t>，距离本项目北侧25m处为西秦庄居民，执行</w:t>
            </w:r>
            <w:r>
              <w:rPr>
                <w:rFonts w:hint="eastAsia"/>
                <w:color w:val="auto"/>
                <w:sz w:val="24"/>
              </w:rPr>
              <w:t>《</w:t>
            </w:r>
            <w:r>
              <w:rPr>
                <w:rFonts w:hint="eastAsia"/>
                <w:color w:val="auto"/>
                <w:sz w:val="24"/>
                <w:lang w:val="en-US" w:eastAsia="zh-CN"/>
              </w:rPr>
              <w:t>声环境质量标准</w:t>
            </w:r>
            <w:r>
              <w:rPr>
                <w:rFonts w:hint="eastAsia"/>
                <w:color w:val="auto"/>
                <w:sz w:val="24"/>
              </w:rPr>
              <w:t>》（</w:t>
            </w:r>
            <w:r>
              <w:rPr>
                <w:color w:val="auto"/>
                <w:sz w:val="24"/>
              </w:rPr>
              <w:t>GB</w:t>
            </w:r>
            <w:r>
              <w:rPr>
                <w:rFonts w:hint="eastAsia"/>
                <w:color w:val="auto"/>
                <w:sz w:val="24"/>
                <w:lang w:val="en-US" w:eastAsia="zh-CN"/>
              </w:rPr>
              <w:t>3096-2008</w:t>
            </w:r>
            <w:r>
              <w:rPr>
                <w:rFonts w:hint="eastAsia"/>
                <w:color w:val="auto"/>
                <w:sz w:val="24"/>
              </w:rPr>
              <w:t>）</w:t>
            </w:r>
            <w:r>
              <w:rPr>
                <w:rFonts w:hint="eastAsia"/>
                <w:color w:val="auto"/>
                <w:sz w:val="24"/>
                <w:lang w:val="en-US" w:eastAsia="zh-CN"/>
              </w:rPr>
              <w:t>1</w:t>
            </w:r>
            <w:r>
              <w:rPr>
                <w:rFonts w:hint="eastAsia"/>
                <w:color w:val="auto"/>
                <w:sz w:val="24"/>
              </w:rPr>
              <w:t>类标准</w:t>
            </w:r>
            <w:r>
              <w:rPr>
                <w:rFonts w:hint="eastAsia" w:ascii="Times New Roman" w:hAnsi="Times New Roman" w:eastAsia="宋体" w:cs="Times New Roman"/>
                <w:color w:val="auto"/>
                <w:sz w:val="24"/>
                <w:lang w:val="en-US" w:eastAsia="zh-CN"/>
              </w:rPr>
              <w:t>。</w:t>
            </w:r>
          </w:p>
          <w:p w14:paraId="63B0F9BE">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w:t>
            </w:r>
            <w:r>
              <w:rPr>
                <w:rFonts w:hint="eastAsia" w:cs="Times New Roman"/>
                <w:color w:val="auto"/>
                <w:sz w:val="24"/>
                <w:lang w:val="en-US" w:eastAsia="zh-CN"/>
              </w:rPr>
              <w:t>河南环碳检测技术有限</w:t>
            </w:r>
            <w:r>
              <w:rPr>
                <w:rFonts w:hint="eastAsia" w:ascii="Times New Roman" w:hAnsi="Times New Roman" w:eastAsia="宋体" w:cs="Times New Roman"/>
                <w:color w:val="auto"/>
                <w:sz w:val="24"/>
                <w:lang w:val="en-US" w:eastAsia="zh-CN"/>
              </w:rPr>
              <w:t>公司出具的检测报告（报告编号：</w:t>
            </w:r>
            <w:r>
              <w:rPr>
                <w:rFonts w:hint="eastAsia" w:cs="Times New Roman"/>
                <w:color w:val="auto"/>
                <w:sz w:val="24"/>
                <w:lang w:val="en-US" w:eastAsia="zh-CN"/>
              </w:rPr>
              <w:t>HT202604067</w:t>
            </w:r>
            <w:r>
              <w:rPr>
                <w:rFonts w:hint="eastAsia" w:ascii="Times New Roman" w:hAnsi="Times New Roman" w:eastAsia="宋体" w:cs="Times New Roman"/>
                <w:color w:val="auto"/>
                <w:sz w:val="24"/>
                <w:lang w:val="en-US" w:eastAsia="zh-CN"/>
              </w:rPr>
              <w:t>），北侧西秦庄居民区昼间噪声最大值为</w:t>
            </w:r>
            <w:r>
              <w:rPr>
                <w:rFonts w:hint="eastAsia" w:cs="Times New Roman"/>
                <w:color w:val="auto"/>
                <w:sz w:val="24"/>
                <w:lang w:val="en-US" w:eastAsia="zh-CN"/>
              </w:rPr>
              <w:t>53</w:t>
            </w:r>
            <w:r>
              <w:rPr>
                <w:rFonts w:hint="default" w:ascii="Times New Roman" w:hAnsi="Times New Roman" w:eastAsia="宋体" w:cs="Times New Roman"/>
                <w:color w:val="auto"/>
                <w:sz w:val="24"/>
                <w:lang w:val="en-US" w:eastAsia="zh-CN"/>
              </w:rPr>
              <w:t>dB(A)</w:t>
            </w:r>
            <w:r>
              <w:rPr>
                <w:rFonts w:hint="eastAsia" w:ascii="Times New Roman" w:hAnsi="Times New Roman" w:eastAsia="宋体" w:cs="Times New Roman"/>
                <w:color w:val="auto"/>
                <w:sz w:val="24"/>
                <w:lang w:val="en-US" w:eastAsia="zh-CN"/>
              </w:rPr>
              <w:t>，夜间噪声最大值为</w:t>
            </w:r>
            <w:r>
              <w:rPr>
                <w:rFonts w:hint="eastAsia" w:cs="Times New Roman"/>
                <w:color w:val="auto"/>
                <w:sz w:val="24"/>
                <w:lang w:val="en-US" w:eastAsia="zh-CN"/>
              </w:rPr>
              <w:t>42</w:t>
            </w:r>
            <w:r>
              <w:rPr>
                <w:rFonts w:hint="default" w:ascii="Times New Roman" w:hAnsi="Times New Roman" w:eastAsia="宋体" w:cs="Times New Roman"/>
                <w:color w:val="auto"/>
                <w:sz w:val="24"/>
                <w:lang w:val="en-US" w:eastAsia="zh-CN"/>
              </w:rPr>
              <w:t>dB(A)</w:t>
            </w:r>
            <w:r>
              <w:rPr>
                <w:rFonts w:hint="eastAsia" w:ascii="Times New Roman" w:hAnsi="Times New Roman" w:eastAsia="宋体" w:cs="Times New Roman"/>
                <w:color w:val="auto"/>
                <w:sz w:val="24"/>
                <w:lang w:val="en-US" w:eastAsia="zh-CN"/>
              </w:rPr>
              <w:t>，现状噪声值均满足</w:t>
            </w:r>
            <w:r>
              <w:rPr>
                <w:rFonts w:hint="eastAsia"/>
                <w:color w:val="auto"/>
                <w:sz w:val="24"/>
              </w:rPr>
              <w:t>《</w:t>
            </w:r>
            <w:r>
              <w:rPr>
                <w:rFonts w:hint="eastAsia"/>
                <w:color w:val="auto"/>
                <w:sz w:val="24"/>
                <w:lang w:val="en-US" w:eastAsia="zh-CN"/>
              </w:rPr>
              <w:t>声环境质量标准</w:t>
            </w:r>
            <w:r>
              <w:rPr>
                <w:rFonts w:hint="eastAsia"/>
                <w:color w:val="auto"/>
                <w:sz w:val="24"/>
              </w:rPr>
              <w:t>》（</w:t>
            </w:r>
            <w:r>
              <w:rPr>
                <w:color w:val="auto"/>
                <w:sz w:val="24"/>
              </w:rPr>
              <w:t>GB</w:t>
            </w:r>
            <w:r>
              <w:rPr>
                <w:rFonts w:hint="eastAsia"/>
                <w:color w:val="auto"/>
                <w:sz w:val="24"/>
                <w:lang w:val="en-US" w:eastAsia="zh-CN"/>
              </w:rPr>
              <w:t>3096-2008</w:t>
            </w:r>
            <w:r>
              <w:rPr>
                <w:rFonts w:hint="eastAsia"/>
                <w:color w:val="auto"/>
                <w:sz w:val="24"/>
              </w:rPr>
              <w:t>）</w:t>
            </w:r>
            <w:r>
              <w:rPr>
                <w:rFonts w:hint="eastAsia"/>
                <w:color w:val="auto"/>
                <w:sz w:val="24"/>
                <w:lang w:val="en-US" w:eastAsia="zh-CN"/>
              </w:rPr>
              <w:t>1类</w:t>
            </w:r>
            <w:r>
              <w:rPr>
                <w:rFonts w:hint="default" w:ascii="Times New Roman" w:hAnsi="Times New Roman" w:eastAsia="宋体" w:cs="Times New Roman"/>
                <w:color w:val="auto"/>
                <w:sz w:val="24"/>
                <w:lang w:val="en-US" w:eastAsia="zh-CN"/>
              </w:rPr>
              <w:t>标准昼间55dB(A)，夜间45dB(A)的要求，区域声环境质量较好。</w:t>
            </w:r>
          </w:p>
          <w:p w14:paraId="0AB89689">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jc w:val="left"/>
              <w:textAlignment w:val="auto"/>
              <w:rPr>
                <w:b/>
                <w:color w:val="auto"/>
                <w:kern w:val="0"/>
                <w:sz w:val="24"/>
              </w:rPr>
            </w:pPr>
            <w:r>
              <w:rPr>
                <w:rFonts w:hint="eastAsia"/>
                <w:b/>
                <w:color w:val="auto"/>
                <w:kern w:val="0"/>
                <w:sz w:val="24"/>
              </w:rPr>
              <w:t>4、生态环境</w:t>
            </w:r>
          </w:p>
          <w:p w14:paraId="6279BB6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eastAsia"/>
                <w:color w:val="auto"/>
                <w:sz w:val="24"/>
                <w:lang w:eastAsia="zh-CN"/>
              </w:rPr>
            </w:pPr>
            <w:r>
              <w:rPr>
                <w:rFonts w:hint="default"/>
                <w:color w:val="auto"/>
                <w:sz w:val="24"/>
              </w:rPr>
              <w:t>根据现场调查，本项目位于</w:t>
            </w:r>
            <w:r>
              <w:rPr>
                <w:rFonts w:hint="eastAsia"/>
                <w:color w:val="auto"/>
                <w:sz w:val="24"/>
                <w:szCs w:val="24"/>
                <w:lang w:val="en-US" w:eastAsia="zh-CN"/>
              </w:rPr>
              <w:t>河南省新乡市延津县石婆固乡西秦庄村012号</w:t>
            </w:r>
            <w:r>
              <w:rPr>
                <w:rFonts w:hint="eastAsia" w:ascii="宋体" w:hAnsi="宋体" w:cs="宋体"/>
                <w:color w:val="auto"/>
                <w:sz w:val="24"/>
                <w:szCs w:val="24"/>
                <w:lang w:eastAsia="zh-CN"/>
              </w:rPr>
              <w:t>，</w:t>
            </w:r>
            <w:r>
              <w:rPr>
                <w:rFonts w:hint="default"/>
                <w:bCs/>
                <w:color w:val="auto"/>
                <w:sz w:val="24"/>
              </w:rPr>
              <w:t>项目</w:t>
            </w:r>
            <w:r>
              <w:rPr>
                <w:rFonts w:hint="default"/>
                <w:color w:val="auto"/>
                <w:sz w:val="24"/>
              </w:rPr>
              <w:t>周围500m范围内无重点保护的野生动植物、风景名胜区、自然保护区及文化遗产等特殊保护目标</w:t>
            </w:r>
            <w:r>
              <w:rPr>
                <w:rFonts w:hint="eastAsia"/>
                <w:color w:val="auto"/>
                <w:sz w:val="24"/>
                <w:lang w:eastAsia="zh-CN"/>
              </w:rPr>
              <w:t>。</w:t>
            </w:r>
          </w:p>
          <w:p w14:paraId="08B7A01F">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360" w:lineRule="auto"/>
              <w:ind w:firstLine="482" w:firstLineChars="200"/>
              <w:jc w:val="left"/>
              <w:textAlignment w:val="auto"/>
              <w:rPr>
                <w:rFonts w:hint="eastAsia"/>
                <w:b/>
                <w:color w:val="auto"/>
                <w:kern w:val="0"/>
                <w:sz w:val="24"/>
              </w:rPr>
            </w:pPr>
            <w:r>
              <w:rPr>
                <w:rFonts w:hint="eastAsia"/>
                <w:b/>
                <w:color w:val="auto"/>
                <w:kern w:val="0"/>
                <w:sz w:val="24"/>
              </w:rPr>
              <w:t>土壤</w:t>
            </w:r>
            <w:r>
              <w:rPr>
                <w:rFonts w:hint="eastAsia"/>
                <w:b/>
                <w:color w:val="auto"/>
                <w:kern w:val="0"/>
                <w:sz w:val="24"/>
                <w:lang w:eastAsia="zh-CN"/>
              </w:rPr>
              <w:t>、</w:t>
            </w:r>
            <w:r>
              <w:rPr>
                <w:rFonts w:hint="eastAsia"/>
                <w:b/>
                <w:color w:val="auto"/>
                <w:kern w:val="0"/>
                <w:sz w:val="24"/>
                <w:lang w:val="en-US" w:eastAsia="zh-CN"/>
              </w:rPr>
              <w:t>地下水</w:t>
            </w:r>
            <w:r>
              <w:rPr>
                <w:rFonts w:hint="eastAsia"/>
                <w:b/>
                <w:color w:val="auto"/>
                <w:kern w:val="0"/>
                <w:sz w:val="24"/>
              </w:rPr>
              <w:t>环境</w:t>
            </w:r>
          </w:p>
          <w:p w14:paraId="69CE0BF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left"/>
              <w:textAlignment w:val="auto"/>
              <w:rPr>
                <w:rFonts w:hint="eastAsia"/>
                <w:color w:val="auto"/>
                <w:lang w:val="en-US" w:eastAsia="zh-CN"/>
              </w:rPr>
            </w:pPr>
            <w:r>
              <w:rPr>
                <w:rFonts w:hint="eastAsia"/>
                <w:color w:val="auto"/>
                <w:sz w:val="24"/>
              </w:rPr>
              <w:t>本项目不存在土壤</w:t>
            </w:r>
            <w:r>
              <w:rPr>
                <w:rFonts w:hint="eastAsia"/>
                <w:color w:val="auto"/>
                <w:sz w:val="24"/>
                <w:lang w:eastAsia="zh-CN"/>
              </w:rPr>
              <w:t>、</w:t>
            </w:r>
            <w:r>
              <w:rPr>
                <w:rFonts w:hint="eastAsia"/>
                <w:color w:val="auto"/>
                <w:sz w:val="24"/>
                <w:lang w:val="en-US" w:eastAsia="zh-CN"/>
              </w:rPr>
              <w:t>地下水</w:t>
            </w:r>
            <w:r>
              <w:rPr>
                <w:rFonts w:hint="eastAsia"/>
                <w:color w:val="auto"/>
                <w:sz w:val="24"/>
              </w:rPr>
              <w:t>环境污染途径，无需开展环境质量现状调查。</w:t>
            </w:r>
          </w:p>
        </w:tc>
      </w:tr>
      <w:tr w14:paraId="7DF174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4" w:type="dxa"/>
            <w:noWrap w:val="0"/>
            <w:vAlign w:val="center"/>
          </w:tcPr>
          <w:p w14:paraId="13E8E986">
            <w:pPr>
              <w:adjustRightInd w:val="0"/>
              <w:snapToGrid w:val="0"/>
              <w:jc w:val="center"/>
              <w:rPr>
                <w:color w:val="auto"/>
                <w:kern w:val="0"/>
                <w:sz w:val="24"/>
                <w:szCs w:val="24"/>
              </w:rPr>
            </w:pPr>
            <w:r>
              <w:rPr>
                <w:rFonts w:hAnsi="宋体"/>
                <w:color w:val="auto"/>
                <w:kern w:val="0"/>
                <w:sz w:val="24"/>
                <w:szCs w:val="24"/>
              </w:rPr>
              <w:t>环境保护目标</w:t>
            </w:r>
          </w:p>
        </w:tc>
        <w:tc>
          <w:tcPr>
            <w:tcW w:w="8820" w:type="dxa"/>
            <w:noWrap w:val="0"/>
            <w:vAlign w:val="top"/>
          </w:tcPr>
          <w:p w14:paraId="108F0734">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本项目周围主要环境保护目标见下表：</w:t>
            </w:r>
          </w:p>
          <w:p w14:paraId="3A3D1DC4">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Times New Roman" w:hAnsi="Times New Roman" w:eastAsia="黑体" w:cs="Times New Roman"/>
                <w:bCs/>
                <w:color w:val="auto"/>
                <w:kern w:val="2"/>
                <w:sz w:val="24"/>
                <w:szCs w:val="24"/>
                <w:highlight w:val="none"/>
                <w:lang w:val="en-US" w:eastAsia="zh-CN" w:bidi="ar-SA"/>
              </w:rPr>
            </w:pPr>
            <w:r>
              <w:rPr>
                <w:rFonts w:hint="eastAsia" w:ascii="Times New Roman" w:hAnsi="Times New Roman" w:eastAsia="黑体" w:cs="Times New Roman"/>
                <w:bCs/>
                <w:color w:val="auto"/>
                <w:kern w:val="2"/>
                <w:sz w:val="24"/>
                <w:szCs w:val="24"/>
                <w:highlight w:val="none"/>
                <w:lang w:val="en-US" w:eastAsia="zh-CN" w:bidi="ar-SA"/>
              </w:rPr>
              <w:t>表1</w:t>
            </w:r>
            <w:r>
              <w:rPr>
                <w:rFonts w:hint="eastAsia" w:eastAsia="黑体" w:cs="Times New Roman"/>
                <w:bCs/>
                <w:color w:val="auto"/>
                <w:kern w:val="2"/>
                <w:sz w:val="24"/>
                <w:szCs w:val="24"/>
                <w:highlight w:val="none"/>
                <w:lang w:val="en-US" w:eastAsia="zh-CN" w:bidi="ar-SA"/>
              </w:rPr>
              <w:t>4</w:t>
            </w:r>
            <w:r>
              <w:rPr>
                <w:rFonts w:hint="eastAsia" w:ascii="Times New Roman" w:hAnsi="Times New Roman" w:eastAsia="黑体" w:cs="Times New Roman"/>
                <w:bCs/>
                <w:color w:val="auto"/>
                <w:kern w:val="2"/>
                <w:sz w:val="24"/>
                <w:szCs w:val="24"/>
                <w:highlight w:val="none"/>
                <w:lang w:val="en-US" w:eastAsia="zh-CN" w:bidi="ar-SA"/>
              </w:rPr>
              <w:t xml:space="preserve">     项目周围环境保护目标概况</w:t>
            </w:r>
          </w:p>
          <w:tbl>
            <w:tblPr>
              <w:tblStyle w:val="17"/>
              <w:tblW w:w="4986"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754"/>
              <w:gridCol w:w="1114"/>
              <w:gridCol w:w="1380"/>
              <w:gridCol w:w="3041"/>
            </w:tblGrid>
            <w:tr w14:paraId="30AFE8B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52" w:type="pct"/>
                  <w:tcBorders>
                    <w:top w:val="single" w:color="auto" w:sz="8" w:space="0"/>
                    <w:bottom w:val="single" w:color="auto" w:sz="8" w:space="0"/>
                  </w:tcBorders>
                  <w:noWrap w:val="0"/>
                  <w:vAlign w:val="center"/>
                </w:tcPr>
                <w:p w14:paraId="7633F127">
                  <w:pPr>
                    <w:adjustRightInd w:val="0"/>
                    <w:snapToGrid w:val="0"/>
                    <w:jc w:val="center"/>
                    <w:rPr>
                      <w:b/>
                      <w:color w:val="auto"/>
                      <w:szCs w:val="21"/>
                    </w:rPr>
                  </w:pPr>
                  <w:r>
                    <w:rPr>
                      <w:rFonts w:hAnsi="宋体"/>
                      <w:b/>
                      <w:color w:val="auto"/>
                      <w:szCs w:val="21"/>
                    </w:rPr>
                    <w:t>环境类别</w:t>
                  </w:r>
                </w:p>
              </w:tc>
              <w:tc>
                <w:tcPr>
                  <w:tcW w:w="1022" w:type="pct"/>
                  <w:tcBorders>
                    <w:top w:val="single" w:color="auto" w:sz="8" w:space="0"/>
                    <w:bottom w:val="single" w:color="auto" w:sz="8" w:space="0"/>
                  </w:tcBorders>
                  <w:noWrap w:val="0"/>
                  <w:vAlign w:val="center"/>
                </w:tcPr>
                <w:p w14:paraId="0878B7E0">
                  <w:pPr>
                    <w:adjustRightInd w:val="0"/>
                    <w:snapToGrid w:val="0"/>
                    <w:jc w:val="center"/>
                    <w:rPr>
                      <w:b/>
                      <w:color w:val="auto"/>
                      <w:szCs w:val="21"/>
                    </w:rPr>
                  </w:pPr>
                  <w:r>
                    <w:rPr>
                      <w:rFonts w:hAnsi="宋体"/>
                      <w:b/>
                      <w:color w:val="auto"/>
                      <w:szCs w:val="21"/>
                    </w:rPr>
                    <w:t>环境保护目标</w:t>
                  </w:r>
                </w:p>
              </w:tc>
              <w:tc>
                <w:tcPr>
                  <w:tcW w:w="649" w:type="pct"/>
                  <w:tcBorders>
                    <w:top w:val="single" w:color="auto" w:sz="8" w:space="0"/>
                    <w:bottom w:val="single" w:color="auto" w:sz="8" w:space="0"/>
                  </w:tcBorders>
                  <w:noWrap w:val="0"/>
                  <w:vAlign w:val="center"/>
                </w:tcPr>
                <w:p w14:paraId="6BDC65D9">
                  <w:pPr>
                    <w:adjustRightInd w:val="0"/>
                    <w:snapToGrid w:val="0"/>
                    <w:jc w:val="center"/>
                    <w:rPr>
                      <w:b/>
                      <w:color w:val="auto"/>
                      <w:szCs w:val="21"/>
                    </w:rPr>
                  </w:pPr>
                  <w:r>
                    <w:rPr>
                      <w:rFonts w:hAnsi="宋体"/>
                      <w:b/>
                      <w:color w:val="auto"/>
                      <w:szCs w:val="21"/>
                    </w:rPr>
                    <w:t>方向</w:t>
                  </w:r>
                </w:p>
              </w:tc>
              <w:tc>
                <w:tcPr>
                  <w:tcW w:w="804" w:type="pct"/>
                  <w:tcBorders>
                    <w:top w:val="single" w:color="auto" w:sz="8" w:space="0"/>
                    <w:bottom w:val="single" w:color="auto" w:sz="8" w:space="0"/>
                  </w:tcBorders>
                  <w:noWrap w:val="0"/>
                  <w:vAlign w:val="center"/>
                </w:tcPr>
                <w:p w14:paraId="40E6E734">
                  <w:pPr>
                    <w:adjustRightInd w:val="0"/>
                    <w:snapToGrid w:val="0"/>
                    <w:jc w:val="center"/>
                    <w:rPr>
                      <w:b/>
                      <w:color w:val="auto"/>
                      <w:szCs w:val="21"/>
                    </w:rPr>
                  </w:pPr>
                  <w:r>
                    <w:rPr>
                      <w:rFonts w:hAnsi="宋体"/>
                      <w:b/>
                      <w:color w:val="auto"/>
                      <w:szCs w:val="21"/>
                    </w:rPr>
                    <w:t>距离厂界</w:t>
                  </w:r>
                </w:p>
              </w:tc>
              <w:tc>
                <w:tcPr>
                  <w:tcW w:w="1770" w:type="pct"/>
                  <w:tcBorders>
                    <w:top w:val="single" w:color="auto" w:sz="8" w:space="0"/>
                    <w:bottom w:val="single" w:color="auto" w:sz="8" w:space="0"/>
                  </w:tcBorders>
                  <w:noWrap w:val="0"/>
                  <w:vAlign w:val="center"/>
                </w:tcPr>
                <w:p w14:paraId="33779CE7">
                  <w:pPr>
                    <w:adjustRightInd w:val="0"/>
                    <w:snapToGrid w:val="0"/>
                    <w:jc w:val="center"/>
                    <w:rPr>
                      <w:b/>
                      <w:color w:val="auto"/>
                      <w:szCs w:val="21"/>
                    </w:rPr>
                  </w:pPr>
                  <w:r>
                    <w:rPr>
                      <w:rFonts w:hAnsi="宋体"/>
                      <w:b/>
                      <w:color w:val="auto"/>
                      <w:szCs w:val="21"/>
                    </w:rPr>
                    <w:t>保护级别</w:t>
                  </w:r>
                </w:p>
              </w:tc>
            </w:tr>
            <w:tr w14:paraId="3B8DF8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pct"/>
                  <w:vMerge w:val="restart"/>
                  <w:tcBorders>
                    <w:top w:val="single" w:color="auto" w:sz="8" w:space="0"/>
                  </w:tcBorders>
                  <w:noWrap w:val="0"/>
                  <w:vAlign w:val="center"/>
                </w:tcPr>
                <w:p w14:paraId="7C2B7A37">
                  <w:pPr>
                    <w:adjustRightInd w:val="0"/>
                    <w:snapToGrid w:val="0"/>
                    <w:jc w:val="center"/>
                    <w:rPr>
                      <w:color w:val="auto"/>
                      <w:szCs w:val="21"/>
                    </w:rPr>
                  </w:pPr>
                  <w:r>
                    <w:rPr>
                      <w:rFonts w:hAnsi="宋体"/>
                      <w:color w:val="auto"/>
                      <w:szCs w:val="21"/>
                    </w:rPr>
                    <w:t>环境空气</w:t>
                  </w:r>
                </w:p>
              </w:tc>
              <w:tc>
                <w:tcPr>
                  <w:tcW w:w="1022" w:type="pct"/>
                  <w:tcBorders>
                    <w:top w:val="single" w:color="auto" w:sz="8" w:space="0"/>
                    <w:bottom w:val="single" w:color="auto" w:sz="4" w:space="0"/>
                  </w:tcBorders>
                  <w:noWrap w:val="0"/>
                  <w:vAlign w:val="center"/>
                </w:tcPr>
                <w:p w14:paraId="6AE55237">
                  <w:pPr>
                    <w:adjustRightInd w:val="0"/>
                    <w:snapToGrid w:val="0"/>
                    <w:jc w:val="center"/>
                    <w:rPr>
                      <w:rFonts w:hint="default" w:eastAsia="宋体"/>
                      <w:color w:val="auto"/>
                      <w:szCs w:val="21"/>
                      <w:lang w:val="en-US" w:eastAsia="zh-CN"/>
                    </w:rPr>
                  </w:pPr>
                  <w:r>
                    <w:rPr>
                      <w:rFonts w:hint="eastAsia"/>
                      <w:color w:val="auto"/>
                      <w:szCs w:val="21"/>
                      <w:lang w:val="en-US" w:eastAsia="zh-CN"/>
                    </w:rPr>
                    <w:t>西秦庄村</w:t>
                  </w:r>
                </w:p>
              </w:tc>
              <w:tc>
                <w:tcPr>
                  <w:tcW w:w="649" w:type="pct"/>
                  <w:tcBorders>
                    <w:top w:val="single" w:color="auto" w:sz="8" w:space="0"/>
                    <w:bottom w:val="single" w:color="auto" w:sz="4" w:space="0"/>
                  </w:tcBorders>
                  <w:noWrap w:val="0"/>
                  <w:vAlign w:val="center"/>
                </w:tcPr>
                <w:p w14:paraId="6571FEBA">
                  <w:pPr>
                    <w:adjustRightInd w:val="0"/>
                    <w:snapToGrid w:val="0"/>
                    <w:jc w:val="center"/>
                    <w:rPr>
                      <w:rFonts w:hint="eastAsia" w:eastAsia="宋体"/>
                      <w:color w:val="auto"/>
                      <w:szCs w:val="21"/>
                      <w:lang w:val="en-US" w:eastAsia="zh-CN"/>
                    </w:rPr>
                  </w:pPr>
                  <w:r>
                    <w:rPr>
                      <w:rFonts w:hint="eastAsia"/>
                      <w:color w:val="auto"/>
                      <w:szCs w:val="21"/>
                      <w:lang w:val="en-US" w:eastAsia="zh-CN"/>
                    </w:rPr>
                    <w:t>北</w:t>
                  </w:r>
                </w:p>
              </w:tc>
              <w:tc>
                <w:tcPr>
                  <w:tcW w:w="804" w:type="pct"/>
                  <w:tcBorders>
                    <w:top w:val="single" w:color="auto" w:sz="8" w:space="0"/>
                    <w:bottom w:val="single" w:color="auto" w:sz="4" w:space="0"/>
                  </w:tcBorders>
                  <w:noWrap w:val="0"/>
                  <w:vAlign w:val="center"/>
                </w:tcPr>
                <w:p w14:paraId="5408A9CA">
                  <w:pPr>
                    <w:adjustRightInd w:val="0"/>
                    <w:snapToGrid w:val="0"/>
                    <w:jc w:val="center"/>
                    <w:rPr>
                      <w:rFonts w:hint="default" w:eastAsia="宋体"/>
                      <w:color w:val="auto"/>
                      <w:szCs w:val="21"/>
                      <w:lang w:val="en-US" w:eastAsia="zh-CN"/>
                    </w:rPr>
                  </w:pPr>
                  <w:r>
                    <w:rPr>
                      <w:rFonts w:hint="eastAsia"/>
                      <w:color w:val="auto"/>
                      <w:szCs w:val="21"/>
                      <w:lang w:val="en-US" w:eastAsia="zh-CN"/>
                    </w:rPr>
                    <w:t>25m</w:t>
                  </w:r>
                </w:p>
              </w:tc>
              <w:tc>
                <w:tcPr>
                  <w:tcW w:w="1770" w:type="pct"/>
                  <w:vMerge w:val="restart"/>
                  <w:tcBorders>
                    <w:top w:val="single" w:color="auto" w:sz="8" w:space="0"/>
                  </w:tcBorders>
                  <w:noWrap w:val="0"/>
                  <w:vAlign w:val="center"/>
                </w:tcPr>
                <w:p w14:paraId="2311D78B">
                  <w:pPr>
                    <w:adjustRightInd w:val="0"/>
                    <w:snapToGrid w:val="0"/>
                    <w:jc w:val="center"/>
                    <w:rPr>
                      <w:color w:val="auto"/>
                      <w:szCs w:val="21"/>
                    </w:rPr>
                  </w:pPr>
                  <w:r>
                    <w:rPr>
                      <w:rFonts w:hAnsi="宋体"/>
                      <w:color w:val="auto"/>
                      <w:szCs w:val="21"/>
                    </w:rPr>
                    <w:t>《环境空气质量标准》（</w:t>
                  </w:r>
                  <w:r>
                    <w:rPr>
                      <w:color w:val="auto"/>
                      <w:szCs w:val="21"/>
                    </w:rPr>
                    <w:t>GB3095-</w:t>
                  </w:r>
                  <w:r>
                    <w:rPr>
                      <w:rFonts w:hint="eastAsia"/>
                      <w:color w:val="auto"/>
                      <w:szCs w:val="21"/>
                      <w:lang w:val="en-US" w:eastAsia="zh-CN"/>
                    </w:rPr>
                    <w:t>2026</w:t>
                  </w:r>
                  <w:r>
                    <w:rPr>
                      <w:rFonts w:hAnsi="宋体"/>
                      <w:color w:val="auto"/>
                      <w:szCs w:val="21"/>
                    </w:rPr>
                    <w:t>）二级</w:t>
                  </w:r>
                </w:p>
              </w:tc>
            </w:tr>
            <w:tr w14:paraId="0F67F90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vMerge w:val="continue"/>
                  <w:noWrap w:val="0"/>
                  <w:vAlign w:val="center"/>
                </w:tcPr>
                <w:p w14:paraId="1A477B5D">
                  <w:pPr>
                    <w:adjustRightInd w:val="0"/>
                    <w:snapToGrid w:val="0"/>
                    <w:jc w:val="center"/>
                    <w:rPr>
                      <w:rFonts w:hAnsi="宋体"/>
                      <w:color w:val="auto"/>
                      <w:szCs w:val="21"/>
                    </w:rPr>
                  </w:pPr>
                </w:p>
              </w:tc>
              <w:tc>
                <w:tcPr>
                  <w:tcW w:w="1022" w:type="pct"/>
                  <w:tcBorders>
                    <w:top w:val="single" w:color="auto" w:sz="4" w:space="0"/>
                    <w:bottom w:val="single" w:color="auto" w:sz="4" w:space="0"/>
                  </w:tcBorders>
                  <w:noWrap w:val="0"/>
                  <w:vAlign w:val="center"/>
                </w:tcPr>
                <w:p w14:paraId="2CCF095F">
                  <w:pPr>
                    <w:adjustRightInd w:val="0"/>
                    <w:snapToGrid w:val="0"/>
                    <w:jc w:val="center"/>
                    <w:rPr>
                      <w:rFonts w:hint="default" w:eastAsia="宋体"/>
                      <w:color w:val="auto"/>
                      <w:szCs w:val="21"/>
                      <w:lang w:val="en-US" w:eastAsia="zh-CN"/>
                    </w:rPr>
                  </w:pPr>
                  <w:r>
                    <w:rPr>
                      <w:rFonts w:hint="eastAsia"/>
                      <w:color w:val="auto"/>
                      <w:szCs w:val="21"/>
                      <w:lang w:val="en-US" w:eastAsia="zh-CN"/>
                    </w:rPr>
                    <w:t>南秦庄村</w:t>
                  </w:r>
                </w:p>
              </w:tc>
              <w:tc>
                <w:tcPr>
                  <w:tcW w:w="649" w:type="pct"/>
                  <w:tcBorders>
                    <w:top w:val="single" w:color="auto" w:sz="4" w:space="0"/>
                    <w:bottom w:val="single" w:color="auto" w:sz="4" w:space="0"/>
                  </w:tcBorders>
                  <w:noWrap w:val="0"/>
                  <w:vAlign w:val="center"/>
                </w:tcPr>
                <w:p w14:paraId="1F07E3A3">
                  <w:pPr>
                    <w:adjustRightInd w:val="0"/>
                    <w:snapToGrid w:val="0"/>
                    <w:jc w:val="center"/>
                    <w:rPr>
                      <w:rFonts w:hint="eastAsia" w:eastAsia="宋体"/>
                      <w:color w:val="auto"/>
                      <w:szCs w:val="21"/>
                      <w:lang w:val="en-US" w:eastAsia="zh-CN"/>
                    </w:rPr>
                  </w:pPr>
                  <w:r>
                    <w:rPr>
                      <w:rFonts w:hint="eastAsia"/>
                      <w:color w:val="auto"/>
                      <w:szCs w:val="21"/>
                      <w:lang w:val="en-US" w:eastAsia="zh-CN"/>
                    </w:rPr>
                    <w:t>南</w:t>
                  </w:r>
                </w:p>
              </w:tc>
              <w:tc>
                <w:tcPr>
                  <w:tcW w:w="804" w:type="pct"/>
                  <w:tcBorders>
                    <w:top w:val="single" w:color="auto" w:sz="4" w:space="0"/>
                    <w:bottom w:val="single" w:color="auto" w:sz="4" w:space="0"/>
                  </w:tcBorders>
                  <w:noWrap w:val="0"/>
                  <w:vAlign w:val="center"/>
                </w:tcPr>
                <w:p w14:paraId="0E7581D3">
                  <w:pPr>
                    <w:adjustRightInd w:val="0"/>
                    <w:snapToGrid w:val="0"/>
                    <w:jc w:val="center"/>
                    <w:rPr>
                      <w:rFonts w:hint="default" w:eastAsia="宋体"/>
                      <w:color w:val="auto"/>
                      <w:szCs w:val="21"/>
                      <w:lang w:val="en-US" w:eastAsia="zh-CN"/>
                    </w:rPr>
                  </w:pPr>
                  <w:r>
                    <w:rPr>
                      <w:rFonts w:hint="eastAsia"/>
                      <w:color w:val="auto"/>
                      <w:szCs w:val="21"/>
                      <w:lang w:val="en-US" w:eastAsia="zh-CN"/>
                    </w:rPr>
                    <w:t>484m</w:t>
                  </w:r>
                </w:p>
              </w:tc>
              <w:tc>
                <w:tcPr>
                  <w:tcW w:w="1770" w:type="pct"/>
                  <w:vMerge w:val="continue"/>
                  <w:noWrap w:val="0"/>
                  <w:vAlign w:val="center"/>
                </w:tcPr>
                <w:p w14:paraId="1B12790A">
                  <w:pPr>
                    <w:adjustRightInd w:val="0"/>
                    <w:snapToGrid w:val="0"/>
                    <w:jc w:val="center"/>
                    <w:rPr>
                      <w:rFonts w:hAnsi="宋体"/>
                      <w:color w:val="auto"/>
                      <w:szCs w:val="21"/>
                    </w:rPr>
                  </w:pPr>
                </w:p>
              </w:tc>
            </w:tr>
            <w:tr w14:paraId="5BC2D0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noWrap w:val="0"/>
                  <w:vAlign w:val="center"/>
                </w:tcPr>
                <w:p w14:paraId="29C7564A">
                  <w:pPr>
                    <w:adjustRightInd w:val="0"/>
                    <w:snapToGrid w:val="0"/>
                    <w:jc w:val="center"/>
                    <w:rPr>
                      <w:rFonts w:hAnsi="宋体"/>
                      <w:color w:val="auto"/>
                      <w:szCs w:val="21"/>
                    </w:rPr>
                  </w:pPr>
                  <w:r>
                    <w:rPr>
                      <w:rFonts w:hint="eastAsia" w:hAnsi="宋体"/>
                      <w:color w:val="auto"/>
                      <w:szCs w:val="21"/>
                      <w:lang w:val="en-US" w:eastAsia="zh-CN"/>
                    </w:rPr>
                    <w:t>声环境</w:t>
                  </w:r>
                </w:p>
              </w:tc>
              <w:tc>
                <w:tcPr>
                  <w:tcW w:w="1022" w:type="pct"/>
                  <w:tcBorders>
                    <w:top w:val="single" w:color="auto" w:sz="4" w:space="0"/>
                    <w:bottom w:val="single" w:color="auto" w:sz="6" w:space="0"/>
                  </w:tcBorders>
                  <w:noWrap w:val="0"/>
                  <w:vAlign w:val="center"/>
                </w:tcPr>
                <w:p w14:paraId="6A4C6ED3">
                  <w:pPr>
                    <w:adjustRightInd w:val="0"/>
                    <w:snapToGrid w:val="0"/>
                    <w:jc w:val="center"/>
                    <w:rPr>
                      <w:rFonts w:hint="eastAsia"/>
                      <w:color w:val="auto"/>
                      <w:szCs w:val="21"/>
                      <w:lang w:val="en-US" w:eastAsia="zh-CN"/>
                    </w:rPr>
                  </w:pPr>
                  <w:r>
                    <w:rPr>
                      <w:rFonts w:hint="eastAsia"/>
                      <w:color w:val="auto"/>
                      <w:szCs w:val="21"/>
                      <w:lang w:val="en-US" w:eastAsia="zh-CN"/>
                    </w:rPr>
                    <w:t>西秦庄村</w:t>
                  </w:r>
                </w:p>
              </w:tc>
              <w:tc>
                <w:tcPr>
                  <w:tcW w:w="649" w:type="pct"/>
                  <w:tcBorders>
                    <w:top w:val="single" w:color="auto" w:sz="4" w:space="0"/>
                    <w:bottom w:val="single" w:color="auto" w:sz="6" w:space="0"/>
                  </w:tcBorders>
                  <w:noWrap w:val="0"/>
                  <w:vAlign w:val="center"/>
                </w:tcPr>
                <w:p w14:paraId="57987F57">
                  <w:pPr>
                    <w:adjustRightInd w:val="0"/>
                    <w:snapToGrid w:val="0"/>
                    <w:jc w:val="center"/>
                    <w:rPr>
                      <w:rFonts w:hint="eastAsia"/>
                      <w:color w:val="auto"/>
                      <w:szCs w:val="21"/>
                      <w:lang w:val="en-US" w:eastAsia="zh-CN"/>
                    </w:rPr>
                  </w:pPr>
                  <w:r>
                    <w:rPr>
                      <w:rFonts w:hint="eastAsia"/>
                      <w:color w:val="auto"/>
                      <w:szCs w:val="21"/>
                      <w:lang w:val="en-US" w:eastAsia="zh-CN"/>
                    </w:rPr>
                    <w:t>北</w:t>
                  </w:r>
                </w:p>
              </w:tc>
              <w:tc>
                <w:tcPr>
                  <w:tcW w:w="804" w:type="pct"/>
                  <w:tcBorders>
                    <w:top w:val="single" w:color="auto" w:sz="4" w:space="0"/>
                    <w:bottom w:val="single" w:color="auto" w:sz="6" w:space="0"/>
                  </w:tcBorders>
                  <w:noWrap w:val="0"/>
                  <w:vAlign w:val="center"/>
                </w:tcPr>
                <w:p w14:paraId="518A298D">
                  <w:pPr>
                    <w:adjustRightInd w:val="0"/>
                    <w:snapToGrid w:val="0"/>
                    <w:jc w:val="center"/>
                    <w:rPr>
                      <w:rFonts w:hint="eastAsia"/>
                      <w:color w:val="auto"/>
                      <w:szCs w:val="21"/>
                      <w:lang w:val="en-US" w:eastAsia="zh-CN"/>
                    </w:rPr>
                  </w:pPr>
                  <w:r>
                    <w:rPr>
                      <w:rFonts w:hint="eastAsia"/>
                      <w:color w:val="auto"/>
                      <w:szCs w:val="21"/>
                      <w:lang w:val="en-US" w:eastAsia="zh-CN"/>
                    </w:rPr>
                    <w:t>25m</w:t>
                  </w:r>
                </w:p>
              </w:tc>
              <w:tc>
                <w:tcPr>
                  <w:tcW w:w="1770" w:type="pct"/>
                  <w:noWrap w:val="0"/>
                  <w:vAlign w:val="center"/>
                </w:tcPr>
                <w:p w14:paraId="39CC00EA">
                  <w:pPr>
                    <w:pStyle w:val="8"/>
                    <w:rPr>
                      <w:rFonts w:hint="eastAsia" w:ascii="Times New Roman" w:hAnsi="宋体" w:eastAsia="宋体" w:cs="Times New Roman"/>
                      <w:color w:val="auto"/>
                      <w:kern w:val="2"/>
                      <w:sz w:val="21"/>
                      <w:szCs w:val="21"/>
                      <w:lang w:val="en-US" w:eastAsia="zh-CN" w:bidi="ar-SA"/>
                    </w:rPr>
                  </w:pPr>
                  <w:r>
                    <w:rPr>
                      <w:rFonts w:hint="eastAsia" w:ascii="Times New Roman" w:hAnsi="宋体" w:eastAsia="宋体" w:cs="Times New Roman"/>
                      <w:color w:val="auto"/>
                      <w:kern w:val="2"/>
                      <w:sz w:val="21"/>
                      <w:szCs w:val="21"/>
                      <w:lang w:val="en-US" w:eastAsia="zh-CN" w:bidi="ar-SA"/>
                    </w:rPr>
                    <w:t>《声环境质量标准》(GB3096-2008)1类</w:t>
                  </w:r>
                </w:p>
                <w:p w14:paraId="0A877C02">
                  <w:pPr>
                    <w:adjustRightInd w:val="0"/>
                    <w:snapToGrid w:val="0"/>
                    <w:jc w:val="center"/>
                    <w:rPr>
                      <w:rFonts w:hAnsi="宋体"/>
                      <w:color w:val="auto"/>
                      <w:szCs w:val="21"/>
                    </w:rPr>
                  </w:pPr>
                  <w:r>
                    <w:rPr>
                      <w:rFonts w:hint="eastAsia" w:ascii="Times New Roman" w:hAnsi="宋体" w:eastAsia="宋体" w:cs="Times New Roman"/>
                      <w:color w:val="auto"/>
                      <w:kern w:val="2"/>
                      <w:sz w:val="21"/>
                      <w:szCs w:val="21"/>
                      <w:lang w:val="en-US" w:eastAsia="zh-CN" w:bidi="ar-SA"/>
                    </w:rPr>
                    <w:t>标准（昼间≤55dB（A）夜间≤45dB（A））</w:t>
                  </w:r>
                </w:p>
              </w:tc>
            </w:tr>
            <w:tr w14:paraId="165419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op w:val="single" w:color="auto" w:sz="6" w:space="0"/>
                    <w:bottom w:val="single" w:color="auto" w:sz="6" w:space="0"/>
                  </w:tcBorders>
                  <w:noWrap w:val="0"/>
                  <w:vAlign w:val="center"/>
                </w:tcPr>
                <w:p w14:paraId="11D074AB">
                  <w:pPr>
                    <w:adjustRightInd w:val="0"/>
                    <w:snapToGrid w:val="0"/>
                    <w:jc w:val="center"/>
                    <w:rPr>
                      <w:rFonts w:hint="eastAsia"/>
                      <w:color w:val="auto"/>
                      <w:kern w:val="2"/>
                      <w:sz w:val="21"/>
                      <w:szCs w:val="21"/>
                      <w:highlight w:val="none"/>
                      <w:lang w:val="en-US" w:eastAsia="zh-CN" w:bidi="ar-SA"/>
                    </w:rPr>
                  </w:pPr>
                  <w:r>
                    <w:rPr>
                      <w:rFonts w:hint="eastAsia"/>
                      <w:color w:val="auto"/>
                      <w:szCs w:val="21"/>
                      <w:highlight w:val="none"/>
                    </w:rPr>
                    <w:t>地下水环境</w:t>
                  </w:r>
                </w:p>
              </w:tc>
              <w:tc>
                <w:tcPr>
                  <w:tcW w:w="4247" w:type="pct"/>
                  <w:gridSpan w:val="4"/>
                  <w:tcBorders>
                    <w:top w:val="single" w:color="auto" w:sz="6" w:space="0"/>
                    <w:bottom w:val="single" w:color="auto" w:sz="6" w:space="0"/>
                  </w:tcBorders>
                  <w:noWrap w:val="0"/>
                  <w:vAlign w:val="center"/>
                </w:tcPr>
                <w:p w14:paraId="24B7533A">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olor w:val="auto"/>
                      <w:lang w:val="en-US" w:eastAsia="zh-CN"/>
                    </w:rPr>
                    <w:t>本项目</w:t>
                  </w:r>
                  <w:r>
                    <w:rPr>
                      <w:color w:val="auto"/>
                    </w:rPr>
                    <w:t>5</w:t>
                  </w:r>
                  <w:r>
                    <w:rPr>
                      <w:rFonts w:hint="eastAsia" w:ascii="Times New Roman" w:hAnsi="Times New Roman" w:eastAsia="宋体" w:cs="Times New Roman"/>
                      <w:color w:val="auto"/>
                      <w:sz w:val="21"/>
                      <w:szCs w:val="21"/>
                      <w:lang w:val="en-US" w:eastAsia="zh-CN"/>
                    </w:rPr>
                    <w:t>00米范围内不存在地下水环境保护目标</w:t>
                  </w:r>
                </w:p>
              </w:tc>
            </w:tr>
            <w:tr w14:paraId="4F0653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2" w:type="pct"/>
                  <w:tcBorders>
                    <w:top w:val="single" w:color="auto" w:sz="6" w:space="0"/>
                    <w:bottom w:val="single" w:color="auto" w:sz="8" w:space="0"/>
                  </w:tcBorders>
                  <w:noWrap w:val="0"/>
                  <w:vAlign w:val="center"/>
                </w:tcPr>
                <w:p w14:paraId="1A832064">
                  <w:pPr>
                    <w:adjustRightInd w:val="0"/>
                    <w:snapToGrid w:val="0"/>
                    <w:jc w:val="center"/>
                    <w:rPr>
                      <w:rFonts w:hint="eastAsia"/>
                      <w:color w:val="auto"/>
                      <w:kern w:val="2"/>
                      <w:sz w:val="21"/>
                      <w:szCs w:val="21"/>
                      <w:lang w:val="en-US" w:eastAsia="zh-CN" w:bidi="ar-SA"/>
                    </w:rPr>
                  </w:pPr>
                  <w:r>
                    <w:rPr>
                      <w:rFonts w:hint="eastAsia"/>
                      <w:color w:val="auto"/>
                      <w:szCs w:val="21"/>
                    </w:rPr>
                    <w:t>生态环境</w:t>
                  </w:r>
                </w:p>
              </w:tc>
              <w:tc>
                <w:tcPr>
                  <w:tcW w:w="4247" w:type="pct"/>
                  <w:gridSpan w:val="4"/>
                  <w:tcBorders>
                    <w:top w:val="single" w:color="auto" w:sz="6" w:space="0"/>
                    <w:bottom w:val="single" w:color="auto" w:sz="8" w:space="0"/>
                  </w:tcBorders>
                  <w:noWrap w:val="0"/>
                  <w:vAlign w:val="center"/>
                </w:tcPr>
                <w:p w14:paraId="600A087B">
                  <w:pPr>
                    <w:adjustRightInd w:val="0"/>
                    <w:snapToGrid w:val="0"/>
                    <w:jc w:val="center"/>
                    <w:rPr>
                      <w:rFonts w:hint="default" w:ascii="Times New Roman" w:hAnsi="宋体" w:eastAsia="宋体" w:cs="Times New Roman"/>
                      <w:color w:val="auto"/>
                      <w:szCs w:val="21"/>
                      <w:lang w:val="en-US" w:eastAsia="zh-CN"/>
                    </w:rPr>
                  </w:pPr>
                  <w:r>
                    <w:rPr>
                      <w:rFonts w:hint="eastAsia"/>
                      <w:color w:val="auto"/>
                      <w:szCs w:val="21"/>
                    </w:rPr>
                    <w:t>本项目</w:t>
                  </w:r>
                  <w:r>
                    <w:rPr>
                      <w:rFonts w:hint="eastAsia"/>
                      <w:color w:val="auto"/>
                      <w:szCs w:val="21"/>
                      <w:lang w:val="en-US" w:eastAsia="zh-CN"/>
                    </w:rPr>
                    <w:t>占</w:t>
                  </w:r>
                  <w:r>
                    <w:rPr>
                      <w:rFonts w:hint="eastAsia"/>
                      <w:color w:val="auto"/>
                      <w:szCs w:val="21"/>
                    </w:rPr>
                    <w:t>地范围内无生态环境保护目标。</w:t>
                  </w:r>
                </w:p>
              </w:tc>
            </w:tr>
          </w:tbl>
          <w:p w14:paraId="153F0842">
            <w:pPr>
              <w:pStyle w:val="2"/>
              <w:ind w:left="0" w:leftChars="0" w:firstLine="0" w:firstLineChars="0"/>
              <w:rPr>
                <w:color w:val="auto"/>
              </w:rPr>
            </w:pPr>
          </w:p>
        </w:tc>
      </w:tr>
      <w:tr w14:paraId="789FC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04" w:type="dxa"/>
            <w:noWrap w:val="0"/>
            <w:tcMar>
              <w:left w:w="28" w:type="dxa"/>
              <w:right w:w="28" w:type="dxa"/>
            </w:tcMar>
            <w:vAlign w:val="center"/>
          </w:tcPr>
          <w:p w14:paraId="6149488C">
            <w:pPr>
              <w:adjustRightInd w:val="0"/>
              <w:snapToGrid w:val="0"/>
              <w:jc w:val="center"/>
              <w:rPr>
                <w:color w:val="auto"/>
                <w:kern w:val="0"/>
                <w:sz w:val="24"/>
                <w:szCs w:val="24"/>
              </w:rPr>
            </w:pPr>
            <w:r>
              <w:rPr>
                <w:rFonts w:hAnsi="宋体"/>
                <w:color w:val="auto"/>
                <w:kern w:val="0"/>
                <w:sz w:val="24"/>
                <w:szCs w:val="24"/>
              </w:rPr>
              <w:t>污染物排放控制标准</w:t>
            </w:r>
          </w:p>
        </w:tc>
        <w:tc>
          <w:tcPr>
            <w:tcW w:w="8820" w:type="dxa"/>
            <w:noWrap w:val="0"/>
            <w:vAlign w:val="top"/>
          </w:tcPr>
          <w:p w14:paraId="73429E3D">
            <w:pPr>
              <w:keepNext w:val="0"/>
              <w:keepLines w:val="0"/>
              <w:pageBreakBefore w:val="0"/>
              <w:widowControl w:val="0"/>
              <w:shd w:val="clear" w:color="auto" w:fill="auto"/>
              <w:kinsoku/>
              <w:wordWrap/>
              <w:overflowPunct/>
              <w:topLinePunct w:val="0"/>
              <w:autoSpaceDE/>
              <w:autoSpaceDN/>
              <w:bidi w:val="0"/>
              <w:adjustRightInd w:val="0"/>
              <w:snapToGrid w:val="0"/>
              <w:spacing w:before="157" w:beforeLines="50" w:line="360" w:lineRule="auto"/>
              <w:ind w:firstLine="482" w:firstLineChars="200"/>
              <w:textAlignment w:val="baseline"/>
              <w:rPr>
                <w:b/>
                <w:color w:val="auto"/>
                <w:sz w:val="24"/>
              </w:rPr>
            </w:pPr>
            <w:r>
              <w:rPr>
                <w:rFonts w:hint="eastAsia"/>
                <w:b/>
                <w:color w:val="auto"/>
                <w:sz w:val="24"/>
                <w:lang w:val="en-US" w:eastAsia="zh-CN"/>
              </w:rPr>
              <w:t>1</w:t>
            </w:r>
            <w:r>
              <w:rPr>
                <w:b/>
                <w:color w:val="auto"/>
                <w:sz w:val="24"/>
              </w:rPr>
              <w:t>、噪声</w:t>
            </w:r>
          </w:p>
          <w:p w14:paraId="41C22C3C">
            <w:pPr>
              <w:keepNext w:val="0"/>
              <w:keepLines w:val="0"/>
              <w:pageBreakBefore w:val="0"/>
              <w:widowControl w:val="0"/>
              <w:shd w:val="clear" w:color="auto" w:fill="auto"/>
              <w:kinsoku/>
              <w:wordWrap/>
              <w:overflowPunct/>
              <w:topLinePunct w:val="0"/>
              <w:autoSpaceDE/>
              <w:autoSpaceDN/>
              <w:bidi w:val="0"/>
              <w:adjustRightInd w:val="0"/>
              <w:snapToGrid w:val="0"/>
              <w:spacing w:before="157" w:beforeLines="50" w:line="360" w:lineRule="auto"/>
              <w:ind w:firstLine="480" w:firstLineChars="200"/>
              <w:rPr>
                <w:color w:val="auto"/>
                <w:sz w:val="24"/>
              </w:rPr>
            </w:pPr>
            <w:r>
              <w:rPr>
                <w:rFonts w:hint="eastAsia"/>
                <w:color w:val="auto"/>
                <w:sz w:val="24"/>
              </w:rPr>
              <w:t>运营期</w:t>
            </w:r>
            <w:r>
              <w:rPr>
                <w:rFonts w:hint="eastAsia"/>
                <w:color w:val="auto"/>
                <w:sz w:val="24"/>
                <w:lang w:val="en-US" w:eastAsia="zh-CN"/>
              </w:rPr>
              <w:t>厂界</w:t>
            </w:r>
            <w:r>
              <w:rPr>
                <w:rFonts w:hint="eastAsia"/>
                <w:color w:val="auto"/>
                <w:sz w:val="24"/>
              </w:rPr>
              <w:t>噪声执行《工业企业厂界环境噪声排放标准》（</w:t>
            </w:r>
            <w:r>
              <w:rPr>
                <w:color w:val="auto"/>
                <w:sz w:val="24"/>
              </w:rPr>
              <w:t>GB12348-2008</w:t>
            </w:r>
            <w:r>
              <w:rPr>
                <w:rFonts w:hint="eastAsia"/>
                <w:color w:val="auto"/>
                <w:sz w:val="24"/>
              </w:rPr>
              <w:t>）</w:t>
            </w:r>
            <w:r>
              <w:rPr>
                <w:rFonts w:hint="eastAsia"/>
                <w:color w:val="auto"/>
                <w:sz w:val="24"/>
                <w:lang w:val="en-US" w:eastAsia="zh-CN"/>
              </w:rPr>
              <w:t>1</w:t>
            </w:r>
            <w:r>
              <w:rPr>
                <w:rFonts w:hint="eastAsia"/>
                <w:color w:val="auto"/>
                <w:sz w:val="24"/>
              </w:rPr>
              <w:t>类标准，具体标准值见下表。</w:t>
            </w:r>
          </w:p>
          <w:p w14:paraId="45DEACDC">
            <w:pPr>
              <w:keepNext w:val="0"/>
              <w:keepLines w:val="0"/>
              <w:pageBreakBefore w:val="0"/>
              <w:widowControl w:val="0"/>
              <w:kinsoku/>
              <w:wordWrap/>
              <w:overflowPunct/>
              <w:topLinePunct w:val="0"/>
              <w:autoSpaceDE/>
              <w:autoSpaceDN/>
              <w:bidi w:val="0"/>
              <w:spacing w:before="157" w:beforeLines="50" w:line="360" w:lineRule="auto"/>
              <w:jc w:val="center"/>
              <w:rPr>
                <w:rFonts w:hint="eastAsia" w:ascii="Times New Roman" w:hAnsi="Times New Roman" w:eastAsia="黑体" w:cs="Times New Roman"/>
                <w:bCs/>
                <w:color w:val="auto"/>
                <w:kern w:val="2"/>
                <w:sz w:val="24"/>
                <w:szCs w:val="24"/>
                <w:lang w:val="en-US" w:eastAsia="zh-CN" w:bidi="ar-SA"/>
              </w:rPr>
            </w:pPr>
            <w:bookmarkStart w:id="2" w:name="_Ref308191224"/>
            <w:r>
              <w:rPr>
                <w:rFonts w:hint="eastAsia" w:ascii="Times New Roman" w:hAnsi="Times New Roman" w:eastAsia="黑体" w:cs="Times New Roman"/>
                <w:bCs/>
                <w:color w:val="auto"/>
                <w:kern w:val="2"/>
                <w:sz w:val="24"/>
                <w:szCs w:val="24"/>
                <w:lang w:val="en-US" w:eastAsia="zh-CN" w:bidi="ar-SA"/>
              </w:rPr>
              <w:t>表</w:t>
            </w:r>
            <w:bookmarkEnd w:id="2"/>
            <w:r>
              <w:rPr>
                <w:rFonts w:hint="eastAsia" w:eastAsia="黑体" w:cs="Times New Roman"/>
                <w:bCs/>
                <w:color w:val="auto"/>
                <w:kern w:val="2"/>
                <w:sz w:val="24"/>
                <w:szCs w:val="24"/>
                <w:lang w:val="en-US" w:eastAsia="zh-CN" w:bidi="ar-SA"/>
              </w:rPr>
              <w:t>15</w:t>
            </w:r>
            <w:r>
              <w:rPr>
                <w:rFonts w:hint="eastAsia" w:ascii="Times New Roman" w:hAnsi="Times New Roman" w:eastAsia="黑体" w:cs="Times New Roman"/>
                <w:bCs/>
                <w:color w:val="auto"/>
                <w:kern w:val="2"/>
                <w:sz w:val="24"/>
                <w:szCs w:val="24"/>
                <w:lang w:val="en-US" w:eastAsia="zh-CN" w:bidi="ar-SA"/>
              </w:rPr>
              <w:t xml:space="preserve">     工业企业厂界环境噪声排放标准         单位：dB（A）</w:t>
            </w:r>
          </w:p>
          <w:tbl>
            <w:tblPr>
              <w:tblStyle w:val="17"/>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15"/>
              <w:gridCol w:w="2262"/>
              <w:gridCol w:w="2262"/>
              <w:gridCol w:w="2262"/>
            </w:tblGrid>
            <w:tr w14:paraId="1B580E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tcBorders>
                    <w:top w:val="single" w:color="auto" w:sz="8" w:space="0"/>
                    <w:bottom w:val="single" w:color="auto" w:sz="8" w:space="0"/>
                  </w:tcBorders>
                  <w:noWrap w:val="0"/>
                  <w:vAlign w:val="center"/>
                </w:tcPr>
                <w:p w14:paraId="279CC7B9">
                  <w:pPr>
                    <w:adjustRightInd w:val="0"/>
                    <w:snapToGrid w:val="0"/>
                    <w:jc w:val="center"/>
                    <w:rPr>
                      <w:rFonts w:hint="eastAsia" w:eastAsia="宋体"/>
                      <w:b/>
                      <w:color w:val="auto"/>
                      <w:szCs w:val="21"/>
                      <w:lang w:val="en-US" w:eastAsia="zh-CN"/>
                    </w:rPr>
                  </w:pPr>
                  <w:r>
                    <w:rPr>
                      <w:rFonts w:hint="eastAsia"/>
                      <w:b/>
                      <w:color w:val="auto"/>
                      <w:szCs w:val="21"/>
                      <w:lang w:val="en-US" w:eastAsia="zh-CN"/>
                    </w:rPr>
                    <w:t>厂界</w:t>
                  </w:r>
                </w:p>
              </w:tc>
              <w:tc>
                <w:tcPr>
                  <w:tcW w:w="1314" w:type="pct"/>
                  <w:tcBorders>
                    <w:top w:val="single" w:color="auto" w:sz="8" w:space="0"/>
                    <w:bottom w:val="single" w:color="auto" w:sz="8" w:space="0"/>
                  </w:tcBorders>
                  <w:noWrap w:val="0"/>
                  <w:vAlign w:val="center"/>
                </w:tcPr>
                <w:p w14:paraId="585408DD">
                  <w:pPr>
                    <w:adjustRightInd w:val="0"/>
                    <w:snapToGrid w:val="0"/>
                    <w:jc w:val="center"/>
                    <w:rPr>
                      <w:b/>
                      <w:color w:val="auto"/>
                      <w:szCs w:val="21"/>
                    </w:rPr>
                  </w:pPr>
                  <w:r>
                    <w:rPr>
                      <w:rFonts w:hint="eastAsia"/>
                      <w:b/>
                      <w:color w:val="auto"/>
                      <w:szCs w:val="21"/>
                    </w:rPr>
                    <w:t>类别</w:t>
                  </w:r>
                </w:p>
              </w:tc>
              <w:tc>
                <w:tcPr>
                  <w:tcW w:w="1314" w:type="pct"/>
                  <w:tcBorders>
                    <w:top w:val="single" w:color="auto" w:sz="8" w:space="0"/>
                    <w:bottom w:val="single" w:color="auto" w:sz="8" w:space="0"/>
                  </w:tcBorders>
                  <w:noWrap w:val="0"/>
                  <w:vAlign w:val="center"/>
                </w:tcPr>
                <w:p w14:paraId="5E3B2589">
                  <w:pPr>
                    <w:adjustRightInd w:val="0"/>
                    <w:snapToGrid w:val="0"/>
                    <w:jc w:val="center"/>
                    <w:rPr>
                      <w:rFonts w:hint="eastAsia" w:eastAsia="宋体"/>
                      <w:b/>
                      <w:color w:val="auto"/>
                      <w:szCs w:val="21"/>
                      <w:lang w:val="en-US" w:eastAsia="zh-CN"/>
                    </w:rPr>
                  </w:pPr>
                  <w:r>
                    <w:rPr>
                      <w:rFonts w:hint="eastAsia"/>
                      <w:b/>
                      <w:color w:val="auto"/>
                      <w:szCs w:val="21"/>
                    </w:rPr>
                    <w:t>昼间</w:t>
                  </w:r>
                </w:p>
              </w:tc>
              <w:tc>
                <w:tcPr>
                  <w:tcW w:w="1314" w:type="pct"/>
                  <w:tcBorders>
                    <w:top w:val="single" w:color="auto" w:sz="8" w:space="0"/>
                    <w:bottom w:val="single" w:color="auto" w:sz="8" w:space="0"/>
                  </w:tcBorders>
                  <w:noWrap w:val="0"/>
                  <w:vAlign w:val="center"/>
                </w:tcPr>
                <w:p w14:paraId="691EC188">
                  <w:pPr>
                    <w:adjustRightInd w:val="0"/>
                    <w:snapToGrid w:val="0"/>
                    <w:jc w:val="center"/>
                    <w:rPr>
                      <w:rFonts w:hint="eastAsia"/>
                      <w:b/>
                      <w:color w:val="auto"/>
                      <w:szCs w:val="21"/>
                      <w:lang w:val="en-US" w:eastAsia="zh-CN"/>
                    </w:rPr>
                  </w:pPr>
                  <w:r>
                    <w:rPr>
                      <w:rFonts w:hint="eastAsia"/>
                      <w:b/>
                      <w:color w:val="auto"/>
                      <w:szCs w:val="21"/>
                      <w:lang w:val="en-US" w:eastAsia="zh-CN"/>
                    </w:rPr>
                    <w:t>夜间</w:t>
                  </w:r>
                </w:p>
              </w:tc>
            </w:tr>
            <w:tr w14:paraId="63FF670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55" w:type="pct"/>
                  <w:tcBorders>
                    <w:top w:val="single" w:color="auto" w:sz="8" w:space="0"/>
                    <w:bottom w:val="single" w:color="auto" w:sz="8" w:space="0"/>
                  </w:tcBorders>
                  <w:noWrap w:val="0"/>
                  <w:vAlign w:val="center"/>
                </w:tcPr>
                <w:p w14:paraId="0DA2613B">
                  <w:pPr>
                    <w:adjustRightInd w:val="0"/>
                    <w:snapToGrid w:val="0"/>
                    <w:jc w:val="center"/>
                    <w:rPr>
                      <w:rFonts w:hint="default" w:eastAsia="宋体"/>
                      <w:color w:val="auto"/>
                      <w:szCs w:val="21"/>
                      <w:lang w:val="en-US" w:eastAsia="zh-CN"/>
                    </w:rPr>
                  </w:pPr>
                  <w:r>
                    <w:rPr>
                      <w:rFonts w:hint="eastAsia"/>
                      <w:color w:val="auto"/>
                      <w:szCs w:val="21"/>
                      <w:lang w:val="en-US" w:eastAsia="zh-CN"/>
                    </w:rPr>
                    <w:t>四周厂界</w:t>
                  </w:r>
                </w:p>
              </w:tc>
              <w:tc>
                <w:tcPr>
                  <w:tcW w:w="1314" w:type="pct"/>
                  <w:tcBorders>
                    <w:top w:val="single" w:color="auto" w:sz="8" w:space="0"/>
                    <w:bottom w:val="single" w:color="auto" w:sz="8" w:space="0"/>
                  </w:tcBorders>
                  <w:noWrap w:val="0"/>
                  <w:vAlign w:val="center"/>
                </w:tcPr>
                <w:p w14:paraId="6CF917BE">
                  <w:pPr>
                    <w:adjustRightInd w:val="0"/>
                    <w:snapToGrid w:val="0"/>
                    <w:jc w:val="center"/>
                    <w:rPr>
                      <w:rFonts w:hint="default" w:eastAsia="宋体"/>
                      <w:color w:val="auto"/>
                      <w:szCs w:val="21"/>
                      <w:lang w:val="en-US" w:eastAsia="zh-CN"/>
                    </w:rPr>
                  </w:pPr>
                  <w:r>
                    <w:rPr>
                      <w:rFonts w:hint="eastAsia"/>
                      <w:color w:val="auto"/>
                      <w:szCs w:val="21"/>
                      <w:lang w:val="en-US" w:eastAsia="zh-CN"/>
                    </w:rPr>
                    <w:t>1类</w:t>
                  </w:r>
                </w:p>
              </w:tc>
              <w:tc>
                <w:tcPr>
                  <w:tcW w:w="1314" w:type="pct"/>
                  <w:tcBorders>
                    <w:top w:val="single" w:color="auto" w:sz="8" w:space="0"/>
                    <w:bottom w:val="single" w:color="auto" w:sz="8" w:space="0"/>
                  </w:tcBorders>
                  <w:noWrap w:val="0"/>
                  <w:vAlign w:val="center"/>
                </w:tcPr>
                <w:p w14:paraId="59C1BB6B">
                  <w:pPr>
                    <w:adjustRightInd w:val="0"/>
                    <w:snapToGrid w:val="0"/>
                    <w:jc w:val="center"/>
                    <w:rPr>
                      <w:rFonts w:hint="default" w:eastAsia="宋体"/>
                      <w:color w:val="auto"/>
                      <w:szCs w:val="21"/>
                      <w:lang w:val="en-US" w:eastAsia="zh-CN"/>
                    </w:rPr>
                  </w:pPr>
                  <w:r>
                    <w:rPr>
                      <w:rFonts w:hint="eastAsia"/>
                      <w:color w:val="auto"/>
                      <w:szCs w:val="21"/>
                      <w:lang w:val="en-US" w:eastAsia="zh-CN"/>
                    </w:rPr>
                    <w:t>55</w:t>
                  </w:r>
                </w:p>
              </w:tc>
              <w:tc>
                <w:tcPr>
                  <w:tcW w:w="1314" w:type="pct"/>
                  <w:tcBorders>
                    <w:top w:val="single" w:color="auto" w:sz="8" w:space="0"/>
                    <w:bottom w:val="single" w:color="auto" w:sz="8" w:space="0"/>
                  </w:tcBorders>
                  <w:noWrap w:val="0"/>
                  <w:vAlign w:val="center"/>
                </w:tcPr>
                <w:p w14:paraId="1CEA5812">
                  <w:pPr>
                    <w:adjustRightInd w:val="0"/>
                    <w:snapToGrid w:val="0"/>
                    <w:jc w:val="center"/>
                    <w:rPr>
                      <w:rFonts w:hint="default" w:eastAsia="宋体"/>
                      <w:color w:val="auto"/>
                      <w:szCs w:val="21"/>
                      <w:lang w:val="en-US" w:eastAsia="zh-CN"/>
                    </w:rPr>
                  </w:pPr>
                  <w:r>
                    <w:rPr>
                      <w:rFonts w:hint="eastAsia"/>
                      <w:color w:val="auto"/>
                      <w:szCs w:val="21"/>
                      <w:lang w:val="en-US" w:eastAsia="zh-CN"/>
                    </w:rPr>
                    <w:t>45</w:t>
                  </w:r>
                </w:p>
              </w:tc>
            </w:tr>
          </w:tbl>
          <w:p w14:paraId="03DED916">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b/>
                <w:color w:val="auto"/>
                <w:sz w:val="24"/>
              </w:rPr>
            </w:pPr>
            <w:r>
              <w:rPr>
                <w:rFonts w:hint="eastAsia"/>
                <w:b/>
                <w:color w:val="auto"/>
                <w:sz w:val="24"/>
              </w:rPr>
              <w:t>3、固废</w:t>
            </w:r>
          </w:p>
          <w:p w14:paraId="321D9CD3">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eastAsia" w:eastAsia="宋体"/>
                <w:color w:val="auto"/>
                <w:sz w:val="24"/>
                <w:lang w:val="en-US" w:eastAsia="zh-CN"/>
              </w:rPr>
            </w:pPr>
            <w:r>
              <w:rPr>
                <w:rFonts w:hint="eastAsia"/>
                <w:color w:val="auto"/>
                <w:sz w:val="24"/>
              </w:rPr>
              <w:t>一般工业固体废物执行</w:t>
            </w:r>
            <w:r>
              <w:rPr>
                <w:rFonts w:hint="eastAsia"/>
                <w:color w:val="auto"/>
                <w:sz w:val="24"/>
                <w:lang w:eastAsia="zh-CN"/>
              </w:rPr>
              <w:t>《一般工业固体废物贮存和填埋污染控制标准》（GB18599-2020）</w:t>
            </w:r>
            <w:r>
              <w:rPr>
                <w:rFonts w:hint="eastAsia"/>
                <w:color w:val="auto"/>
                <w:sz w:val="24"/>
              </w:rPr>
              <w:t>中的有关规定</w:t>
            </w:r>
            <w:r>
              <w:rPr>
                <w:rFonts w:hint="eastAsia"/>
                <w:color w:val="auto"/>
                <w:sz w:val="24"/>
                <w:lang w:eastAsia="zh-CN"/>
              </w:rPr>
              <w:t>。</w:t>
            </w:r>
          </w:p>
        </w:tc>
      </w:tr>
      <w:tr w14:paraId="69446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04" w:type="dxa"/>
            <w:noWrap w:val="0"/>
            <w:vAlign w:val="center"/>
          </w:tcPr>
          <w:p w14:paraId="0C267FF2">
            <w:pPr>
              <w:shd w:val="clear" w:color="auto" w:fill="auto"/>
              <w:adjustRightInd w:val="0"/>
              <w:snapToGrid w:val="0"/>
              <w:jc w:val="center"/>
              <w:rPr>
                <w:color w:val="auto"/>
                <w:kern w:val="0"/>
                <w:szCs w:val="21"/>
                <w:highlight w:val="none"/>
              </w:rPr>
            </w:pPr>
            <w:r>
              <w:rPr>
                <w:rFonts w:hAnsi="宋体"/>
                <w:color w:val="auto"/>
                <w:kern w:val="0"/>
                <w:sz w:val="24"/>
                <w:szCs w:val="24"/>
                <w:highlight w:val="none"/>
              </w:rPr>
              <w:t>总量控制指标</w:t>
            </w:r>
          </w:p>
        </w:tc>
        <w:tc>
          <w:tcPr>
            <w:tcW w:w="8820" w:type="dxa"/>
            <w:noWrap w:val="0"/>
            <w:vAlign w:val="center"/>
          </w:tcPr>
          <w:p w14:paraId="3AD1AA31">
            <w:pPr>
              <w:spacing w:line="440" w:lineRule="exact"/>
              <w:ind w:firstLine="480" w:firstLineChars="200"/>
              <w:rPr>
                <w:rFonts w:hint="eastAsia"/>
                <w:color w:val="auto"/>
                <w:sz w:val="24"/>
                <w:highlight w:val="none"/>
                <w:lang w:val="en-US" w:eastAsia="zh-CN"/>
              </w:rPr>
            </w:pPr>
            <w:r>
              <w:rPr>
                <w:rFonts w:hint="eastAsia"/>
                <w:color w:val="auto"/>
                <w:sz w:val="24"/>
                <w:highlight w:val="none"/>
                <w:lang w:val="en-US" w:eastAsia="zh-CN"/>
              </w:rPr>
              <w:t>本项目属于新建项目，不涉及废气、废水排放，无需进行总量代替。</w:t>
            </w:r>
          </w:p>
          <w:p w14:paraId="31BE4D30">
            <w:pPr>
              <w:pStyle w:val="10"/>
              <w:rPr>
                <w:rFonts w:hint="eastAsia"/>
                <w:color w:val="auto"/>
                <w:sz w:val="24"/>
                <w:highlight w:val="none"/>
                <w:lang w:val="en-US" w:eastAsia="zh-CN"/>
              </w:rPr>
            </w:pPr>
          </w:p>
          <w:p w14:paraId="53F3F0AE">
            <w:pPr>
              <w:pStyle w:val="10"/>
              <w:rPr>
                <w:rFonts w:hint="eastAsia"/>
                <w:color w:val="auto"/>
                <w:sz w:val="24"/>
                <w:highlight w:val="none"/>
                <w:lang w:val="en-US" w:eastAsia="zh-CN"/>
              </w:rPr>
            </w:pPr>
          </w:p>
          <w:p w14:paraId="16DE6D5F">
            <w:pPr>
              <w:pStyle w:val="10"/>
              <w:rPr>
                <w:rFonts w:hint="eastAsia"/>
                <w:color w:val="auto"/>
                <w:sz w:val="24"/>
                <w:highlight w:val="none"/>
                <w:lang w:val="en-US" w:eastAsia="zh-CN"/>
              </w:rPr>
            </w:pPr>
          </w:p>
          <w:p w14:paraId="42754FF4">
            <w:pPr>
              <w:pStyle w:val="10"/>
              <w:rPr>
                <w:rFonts w:hint="eastAsia"/>
                <w:color w:val="auto"/>
                <w:sz w:val="24"/>
                <w:highlight w:val="none"/>
                <w:lang w:val="en-US" w:eastAsia="zh-CN"/>
              </w:rPr>
            </w:pPr>
          </w:p>
        </w:tc>
      </w:tr>
    </w:tbl>
    <w:p w14:paraId="207CDFA6">
      <w:pPr>
        <w:pStyle w:val="16"/>
        <w:jc w:val="center"/>
        <w:outlineLvl w:val="0"/>
        <w:rPr>
          <w:rFonts w:hint="eastAsia" w:ascii="黑体" w:hAnsi="黑体" w:eastAsia="黑体"/>
          <w:snapToGrid w:val="0"/>
          <w:color w:val="auto"/>
          <w:sz w:val="30"/>
          <w:szCs w:val="30"/>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9ED9874">
      <w:pPr>
        <w:pStyle w:val="16"/>
        <w:jc w:val="center"/>
        <w:outlineLvl w:val="0"/>
        <w:rPr>
          <w:rFonts w:ascii="黑体" w:hAnsi="黑体" w:eastAsia="黑体"/>
          <w:snapToGrid w:val="0"/>
          <w:color w:val="auto"/>
          <w:sz w:val="30"/>
          <w:szCs w:val="30"/>
        </w:rPr>
      </w:pPr>
      <w:r>
        <w:rPr>
          <w:rFonts w:hint="eastAsia" w:ascii="黑体" w:hAnsi="黑体" w:eastAsia="黑体"/>
          <w:snapToGrid w:val="0"/>
          <w:color w:val="auto"/>
          <w:sz w:val="30"/>
          <w:szCs w:val="30"/>
        </w:rPr>
        <w:t>四、主要环境影响和保护措施</w:t>
      </w:r>
    </w:p>
    <w:tbl>
      <w:tblPr>
        <w:tblStyle w:val="17"/>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58"/>
      </w:tblGrid>
      <w:tr w14:paraId="26B0E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23" w:type="dxa"/>
            <w:noWrap w:val="0"/>
            <w:tcMar>
              <w:left w:w="28" w:type="dxa"/>
              <w:right w:w="28" w:type="dxa"/>
            </w:tcMar>
            <w:vAlign w:val="center"/>
          </w:tcPr>
          <w:p w14:paraId="69BD0C16">
            <w:pPr>
              <w:pStyle w:val="16"/>
              <w:adjustRightInd w:val="0"/>
              <w:snapToGrid w:val="0"/>
              <w:spacing w:before="0" w:beforeAutospacing="0" w:after="0" w:afterAutospacing="0"/>
              <w:jc w:val="center"/>
              <w:rPr>
                <w:rFonts w:hint="eastAsia" w:cs="宋体"/>
                <w:color w:val="auto"/>
                <w:kern w:val="2"/>
                <w:szCs w:val="24"/>
                <w:lang w:val="en-US" w:eastAsia="zh-CN"/>
              </w:rPr>
            </w:pPr>
            <w:r>
              <w:rPr>
                <w:rFonts w:hint="eastAsia" w:cs="宋体"/>
                <w:color w:val="auto"/>
                <w:kern w:val="2"/>
                <w:szCs w:val="24"/>
                <w:lang w:val="en-US" w:eastAsia="zh-CN"/>
              </w:rPr>
              <w:t>施工</w:t>
            </w:r>
          </w:p>
          <w:p w14:paraId="14B253FA">
            <w:pPr>
              <w:pStyle w:val="16"/>
              <w:adjustRightInd w:val="0"/>
              <w:snapToGrid w:val="0"/>
              <w:spacing w:before="0" w:beforeAutospacing="0" w:after="0" w:afterAutospacing="0"/>
              <w:jc w:val="center"/>
              <w:rPr>
                <w:rFonts w:hint="eastAsia" w:cs="宋体"/>
                <w:color w:val="auto"/>
                <w:kern w:val="2"/>
                <w:szCs w:val="24"/>
                <w:lang w:val="en-US" w:eastAsia="zh-CN"/>
              </w:rPr>
            </w:pPr>
            <w:r>
              <w:rPr>
                <w:rFonts w:hint="eastAsia" w:cs="宋体"/>
                <w:color w:val="auto"/>
                <w:kern w:val="2"/>
                <w:szCs w:val="24"/>
                <w:lang w:val="en-US" w:eastAsia="zh-CN"/>
              </w:rPr>
              <w:t>期环</w:t>
            </w:r>
          </w:p>
          <w:p w14:paraId="03F3FF13">
            <w:pPr>
              <w:pStyle w:val="16"/>
              <w:adjustRightInd w:val="0"/>
              <w:snapToGrid w:val="0"/>
              <w:spacing w:before="0" w:beforeAutospacing="0" w:after="0" w:afterAutospacing="0"/>
              <w:jc w:val="center"/>
              <w:rPr>
                <w:rFonts w:hint="eastAsia" w:cs="宋体"/>
                <w:color w:val="auto"/>
                <w:kern w:val="2"/>
                <w:szCs w:val="24"/>
                <w:lang w:val="en-US" w:eastAsia="zh-CN"/>
              </w:rPr>
            </w:pPr>
            <w:r>
              <w:rPr>
                <w:rFonts w:hint="eastAsia" w:cs="宋体"/>
                <w:color w:val="auto"/>
                <w:kern w:val="2"/>
                <w:szCs w:val="24"/>
                <w:lang w:val="en-US" w:eastAsia="zh-CN"/>
              </w:rPr>
              <w:t>境保</w:t>
            </w:r>
          </w:p>
          <w:p w14:paraId="19122F22">
            <w:pPr>
              <w:pStyle w:val="16"/>
              <w:adjustRightInd w:val="0"/>
              <w:snapToGrid w:val="0"/>
              <w:spacing w:before="0" w:beforeAutospacing="0" w:after="0" w:afterAutospacing="0"/>
              <w:jc w:val="center"/>
              <w:rPr>
                <w:rFonts w:hint="eastAsia" w:cs="宋体"/>
                <w:color w:val="auto"/>
                <w:kern w:val="2"/>
                <w:szCs w:val="24"/>
                <w:lang w:val="en-US" w:eastAsia="zh-CN"/>
              </w:rPr>
            </w:pPr>
            <w:r>
              <w:rPr>
                <w:rFonts w:hint="eastAsia" w:cs="宋体"/>
                <w:color w:val="auto"/>
                <w:kern w:val="2"/>
                <w:szCs w:val="24"/>
                <w:lang w:val="en-US" w:eastAsia="zh-CN"/>
              </w:rPr>
              <w:t>护措</w:t>
            </w:r>
          </w:p>
          <w:p w14:paraId="5D8CD033">
            <w:pPr>
              <w:pStyle w:val="16"/>
              <w:adjustRightInd w:val="0"/>
              <w:snapToGrid w:val="0"/>
              <w:spacing w:before="0" w:beforeAutospacing="0" w:after="0" w:afterAutospacing="0"/>
              <w:jc w:val="center"/>
              <w:rPr>
                <w:rFonts w:hint="eastAsia" w:cs="宋体"/>
                <w:bCs/>
                <w:color w:val="auto"/>
                <w:kern w:val="2"/>
                <w:sz w:val="21"/>
                <w:szCs w:val="21"/>
                <w:lang w:val="en-US" w:eastAsia="zh-CN"/>
              </w:rPr>
            </w:pPr>
            <w:r>
              <w:rPr>
                <w:rFonts w:hint="eastAsia" w:cs="宋体"/>
                <w:color w:val="auto"/>
                <w:kern w:val="2"/>
                <w:szCs w:val="24"/>
                <w:lang w:val="en-US" w:eastAsia="zh-CN"/>
              </w:rPr>
              <w:t>施</w:t>
            </w:r>
          </w:p>
        </w:tc>
        <w:tc>
          <w:tcPr>
            <w:tcW w:w="8158" w:type="dxa"/>
            <w:noWrap w:val="0"/>
            <w:vAlign w:val="center"/>
          </w:tcPr>
          <w:p w14:paraId="2A188734">
            <w:pPr>
              <w:pStyle w:val="23"/>
              <w:spacing w:line="440" w:lineRule="exact"/>
              <w:ind w:left="0" w:leftChars="0" w:firstLine="480" w:firstLineChars="200"/>
              <w:rPr>
                <w:rFonts w:cs="宋体"/>
                <w:color w:val="auto"/>
                <w:szCs w:val="24"/>
                <w:lang w:val="en-US" w:eastAsia="zh-CN"/>
              </w:rPr>
            </w:pPr>
            <w:r>
              <w:rPr>
                <w:rFonts w:hAnsi="宋体"/>
                <w:bCs/>
                <w:color w:val="auto"/>
                <w:kern w:val="0"/>
              </w:rPr>
              <w:t>本项目</w:t>
            </w:r>
            <w:r>
              <w:rPr>
                <w:rFonts w:hint="eastAsia" w:hAnsi="宋体"/>
                <w:bCs/>
                <w:color w:val="auto"/>
                <w:kern w:val="0"/>
              </w:rPr>
              <w:t>利用现有</w:t>
            </w:r>
            <w:r>
              <w:rPr>
                <w:rFonts w:hAnsi="宋体"/>
                <w:bCs/>
                <w:color w:val="auto"/>
                <w:kern w:val="0"/>
              </w:rPr>
              <w:t>厂房组织生产，</w:t>
            </w:r>
            <w:r>
              <w:rPr>
                <w:rFonts w:hAnsi="宋体"/>
                <w:color w:val="auto"/>
              </w:rPr>
              <w:t>不需要新建其他构筑物，施工期仅为室内装修和设备安装，工程量较小，本次评价不再对施工期环境影响进行分析</w:t>
            </w:r>
            <w:r>
              <w:rPr>
                <w:rFonts w:hAnsi="宋体"/>
                <w:bCs/>
                <w:color w:val="auto"/>
              </w:rPr>
              <w:t>。</w:t>
            </w:r>
          </w:p>
        </w:tc>
      </w:tr>
      <w:tr w14:paraId="5B3A8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823" w:type="dxa"/>
            <w:noWrap w:val="0"/>
            <w:tcMar>
              <w:left w:w="28" w:type="dxa"/>
              <w:right w:w="28" w:type="dxa"/>
            </w:tcMar>
            <w:vAlign w:val="center"/>
          </w:tcPr>
          <w:p w14:paraId="2B2F1669">
            <w:pPr>
              <w:adjustRightInd w:val="0"/>
              <w:snapToGrid w:val="0"/>
              <w:jc w:val="center"/>
              <w:rPr>
                <w:rFonts w:hint="eastAsia" w:ascii="宋体" w:hAnsi="宋体" w:cs="宋体"/>
                <w:bCs/>
                <w:color w:val="auto"/>
                <w:sz w:val="24"/>
              </w:rPr>
            </w:pPr>
            <w:r>
              <w:rPr>
                <w:rFonts w:hint="eastAsia" w:ascii="宋体" w:hAnsi="宋体" w:cs="宋体"/>
                <w:bCs/>
                <w:color w:val="auto"/>
                <w:sz w:val="24"/>
              </w:rPr>
              <w:t>运营</w:t>
            </w:r>
          </w:p>
          <w:p w14:paraId="0BF6C498">
            <w:pPr>
              <w:adjustRightInd w:val="0"/>
              <w:snapToGrid w:val="0"/>
              <w:jc w:val="center"/>
              <w:rPr>
                <w:rFonts w:hint="eastAsia" w:ascii="宋体" w:hAnsi="宋体" w:cs="宋体"/>
                <w:bCs/>
                <w:color w:val="auto"/>
                <w:sz w:val="24"/>
              </w:rPr>
            </w:pPr>
            <w:r>
              <w:rPr>
                <w:rFonts w:hint="eastAsia" w:ascii="宋体" w:hAnsi="宋体" w:cs="宋体"/>
                <w:bCs/>
                <w:color w:val="auto"/>
                <w:sz w:val="24"/>
              </w:rPr>
              <w:t>期环</w:t>
            </w:r>
          </w:p>
          <w:p w14:paraId="332FCF7D">
            <w:pPr>
              <w:adjustRightInd w:val="0"/>
              <w:snapToGrid w:val="0"/>
              <w:jc w:val="center"/>
              <w:rPr>
                <w:rFonts w:hint="eastAsia" w:ascii="宋体" w:hAnsi="宋体" w:cs="宋体"/>
                <w:bCs/>
                <w:color w:val="auto"/>
                <w:sz w:val="24"/>
              </w:rPr>
            </w:pPr>
            <w:r>
              <w:rPr>
                <w:rFonts w:hint="eastAsia" w:ascii="宋体" w:hAnsi="宋体" w:cs="宋体"/>
                <w:bCs/>
                <w:color w:val="auto"/>
                <w:sz w:val="24"/>
              </w:rPr>
              <w:t>境影</w:t>
            </w:r>
          </w:p>
          <w:p w14:paraId="7E3ECF4A">
            <w:pPr>
              <w:adjustRightInd w:val="0"/>
              <w:snapToGrid w:val="0"/>
              <w:jc w:val="center"/>
              <w:rPr>
                <w:rFonts w:hint="eastAsia" w:ascii="宋体" w:hAnsi="宋体" w:cs="宋体"/>
                <w:bCs/>
                <w:color w:val="auto"/>
                <w:sz w:val="24"/>
              </w:rPr>
            </w:pPr>
            <w:r>
              <w:rPr>
                <w:rFonts w:hint="eastAsia" w:ascii="宋体" w:hAnsi="宋体" w:cs="宋体"/>
                <w:bCs/>
                <w:color w:val="auto"/>
                <w:sz w:val="24"/>
              </w:rPr>
              <w:t>响和</w:t>
            </w:r>
          </w:p>
          <w:p w14:paraId="379BA0D7">
            <w:pPr>
              <w:adjustRightInd w:val="0"/>
              <w:snapToGrid w:val="0"/>
              <w:jc w:val="center"/>
              <w:rPr>
                <w:rFonts w:hint="eastAsia" w:ascii="宋体" w:hAnsi="宋体" w:cs="宋体"/>
                <w:bCs/>
                <w:color w:val="auto"/>
                <w:sz w:val="24"/>
              </w:rPr>
            </w:pPr>
            <w:r>
              <w:rPr>
                <w:rFonts w:hint="eastAsia" w:ascii="宋体" w:hAnsi="宋体" w:cs="宋体"/>
                <w:bCs/>
                <w:color w:val="auto"/>
                <w:sz w:val="24"/>
              </w:rPr>
              <w:t>保护</w:t>
            </w:r>
          </w:p>
          <w:p w14:paraId="215860D6">
            <w:pPr>
              <w:adjustRightInd w:val="0"/>
              <w:snapToGrid w:val="0"/>
              <w:jc w:val="center"/>
              <w:rPr>
                <w:rFonts w:ascii="宋体" w:hAnsi="宋体" w:cs="宋体"/>
                <w:bCs/>
                <w:color w:val="auto"/>
                <w:szCs w:val="21"/>
              </w:rPr>
            </w:pPr>
            <w:r>
              <w:rPr>
                <w:rFonts w:hint="eastAsia" w:ascii="宋体" w:hAnsi="宋体" w:cs="宋体"/>
                <w:bCs/>
                <w:color w:val="auto"/>
                <w:sz w:val="24"/>
              </w:rPr>
              <w:t>措施</w:t>
            </w:r>
          </w:p>
        </w:tc>
        <w:tc>
          <w:tcPr>
            <w:tcW w:w="8158" w:type="dxa"/>
            <w:noWrap w:val="0"/>
            <w:vAlign w:val="center"/>
          </w:tcPr>
          <w:p w14:paraId="21C3D6C1">
            <w:pPr>
              <w:spacing w:line="440" w:lineRule="exact"/>
              <w:ind w:firstLine="480" w:firstLineChars="200"/>
              <w:textAlignment w:val="baseline"/>
              <w:rPr>
                <w:color w:val="auto"/>
                <w:sz w:val="24"/>
              </w:rPr>
            </w:pPr>
            <w:r>
              <w:rPr>
                <w:color w:val="auto"/>
                <w:sz w:val="24"/>
              </w:rPr>
              <w:t>本项目对环境的影响主要是生产过程中产生的废水、噪声和固废。现将该项目营运过程中对环境的影响分析如下：</w:t>
            </w:r>
          </w:p>
          <w:p w14:paraId="7C2B18FF">
            <w:pPr>
              <w:adjustRightInd w:val="0"/>
              <w:snapToGrid w:val="0"/>
              <w:spacing w:line="440" w:lineRule="exact"/>
              <w:ind w:firstLine="482" w:firstLineChars="200"/>
              <w:textAlignment w:val="baseline"/>
              <w:rPr>
                <w:b/>
                <w:color w:val="auto"/>
                <w:sz w:val="24"/>
                <w:highlight w:val="none"/>
              </w:rPr>
            </w:pPr>
            <w:r>
              <w:rPr>
                <w:b/>
                <w:color w:val="auto"/>
                <w:sz w:val="24"/>
                <w:highlight w:val="none"/>
              </w:rPr>
              <w:t>一、废气</w:t>
            </w:r>
          </w:p>
          <w:p w14:paraId="0D7A6032">
            <w:pPr>
              <w:pStyle w:val="24"/>
              <w:spacing w:line="440" w:lineRule="exact"/>
              <w:ind w:firstLine="480" w:firstLineChars="200"/>
              <w:jc w:val="both"/>
              <w:rPr>
                <w:rFonts w:hint="default" w:eastAsia="宋体"/>
                <w:color w:val="auto"/>
                <w:sz w:val="24"/>
                <w:highlight w:val="none"/>
                <w:lang w:val="en-US" w:eastAsia="zh-CN"/>
              </w:rPr>
            </w:pPr>
            <w:r>
              <w:rPr>
                <w:rFonts w:ascii="Times New Roman" w:hAnsi="Times New Roman"/>
                <w:color w:val="auto"/>
                <w:sz w:val="24"/>
                <w:szCs w:val="24"/>
                <w:highlight w:val="none"/>
              </w:rPr>
              <w:t>本项目运营期</w:t>
            </w:r>
            <w:r>
              <w:rPr>
                <w:rFonts w:hint="eastAsia" w:ascii="Times New Roman" w:hAnsi="Times New Roman"/>
                <w:color w:val="auto"/>
                <w:sz w:val="24"/>
                <w:szCs w:val="24"/>
                <w:highlight w:val="none"/>
                <w:lang w:val="en-US" w:eastAsia="zh-CN"/>
              </w:rPr>
              <w:t>不涉及废气排放。</w:t>
            </w:r>
          </w:p>
          <w:p w14:paraId="4F37A855">
            <w:pPr>
              <w:spacing w:line="440" w:lineRule="exact"/>
              <w:ind w:firstLine="482" w:firstLineChars="200"/>
              <w:rPr>
                <w:b/>
                <w:bCs/>
                <w:color w:val="auto"/>
                <w:sz w:val="24"/>
                <w:highlight w:val="none"/>
              </w:rPr>
            </w:pPr>
            <w:r>
              <w:rPr>
                <w:b/>
                <w:color w:val="auto"/>
                <w:sz w:val="24"/>
                <w:szCs w:val="20"/>
                <w:highlight w:val="none"/>
              </w:rPr>
              <w:t>二、废水</w:t>
            </w:r>
          </w:p>
          <w:p w14:paraId="4652206E">
            <w:pPr>
              <w:keepNext w:val="0"/>
              <w:keepLines w:val="0"/>
              <w:pageBreakBefore w:val="0"/>
              <w:widowControl w:val="0"/>
              <w:numPr>
                <w:ilvl w:val="0"/>
                <w:numId w:val="0"/>
              </w:numPr>
              <w:kinsoku/>
              <w:wordWrap/>
              <w:overflowPunct/>
              <w:topLinePunct w:val="0"/>
              <w:autoSpaceDE/>
              <w:autoSpaceDN/>
              <w:bidi w:val="0"/>
              <w:spacing w:line="440" w:lineRule="exact"/>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本项目废水主要是员工生活废水，本项目劳动定</w:t>
            </w:r>
            <w:r>
              <w:rPr>
                <w:rFonts w:hint="default" w:ascii="Times New Roman" w:hAnsi="Times New Roman" w:eastAsia="宋体" w:cs="Times New Roman"/>
                <w:color w:val="auto"/>
                <w:kern w:val="2"/>
                <w:sz w:val="24"/>
                <w:szCs w:val="24"/>
                <w:lang w:val="en-US" w:eastAsia="zh-CN" w:bidi="ar-SA"/>
              </w:rPr>
              <w:t>员10人，工作制度为两班制，每班工作8小时，年工作300天</w:t>
            </w:r>
            <w:r>
              <w:rPr>
                <w:rFonts w:hint="eastAsia" w:cs="Times New Roman"/>
                <w:color w:val="auto"/>
                <w:kern w:val="2"/>
                <w:sz w:val="24"/>
                <w:szCs w:val="24"/>
                <w:lang w:val="en-US" w:eastAsia="zh-CN" w:bidi="ar-SA"/>
              </w:rPr>
              <w:t>，员工不在厂区食宿</w:t>
            </w:r>
            <w:r>
              <w:rPr>
                <w:rFonts w:hint="default" w:ascii="Times New Roman" w:hAnsi="Times New Roman" w:eastAsia="宋体" w:cs="Times New Roman"/>
                <w:color w:val="auto"/>
                <w:kern w:val="2"/>
                <w:sz w:val="24"/>
                <w:szCs w:val="24"/>
                <w:lang w:val="en-US" w:eastAsia="zh-CN" w:bidi="ar-SA"/>
              </w:rPr>
              <w:t>。</w:t>
            </w:r>
            <w:r>
              <w:rPr>
                <w:rFonts w:hint="default" w:ascii="Times New Roman" w:hAnsi="Times New Roman" w:cs="Times New Roman"/>
                <w:bCs/>
                <w:color w:val="auto"/>
                <w:sz w:val="24"/>
                <w:szCs w:val="24"/>
                <w:lang w:val="en-US" w:eastAsia="zh-CN"/>
              </w:rPr>
              <w:t>生活用水量按30L/人 d计，则新增生活用水量为0.3m</w:t>
            </w:r>
            <w:r>
              <w:rPr>
                <w:rFonts w:hint="default" w:ascii="Times New Roman" w:hAnsi="Times New Roman" w:cs="Times New Roman"/>
                <w:bCs/>
                <w:color w:val="auto"/>
                <w:sz w:val="24"/>
                <w:szCs w:val="24"/>
                <w:vertAlign w:val="superscript"/>
                <w:lang w:val="en-US" w:eastAsia="zh-CN"/>
              </w:rPr>
              <w:t>3</w:t>
            </w:r>
            <w:r>
              <w:rPr>
                <w:rFonts w:hint="default" w:ascii="Times New Roman" w:hAnsi="Times New Roman" w:cs="Times New Roman"/>
                <w:bCs/>
                <w:color w:val="auto"/>
                <w:sz w:val="24"/>
                <w:szCs w:val="24"/>
                <w:lang w:val="en-US" w:eastAsia="zh-CN"/>
              </w:rPr>
              <w:t>/d（90m</w:t>
            </w:r>
            <w:r>
              <w:rPr>
                <w:rFonts w:hint="default" w:ascii="Times New Roman" w:hAnsi="Times New Roman" w:cs="Times New Roman"/>
                <w:bCs/>
                <w:color w:val="auto"/>
                <w:sz w:val="24"/>
                <w:szCs w:val="24"/>
                <w:vertAlign w:val="superscript"/>
                <w:lang w:val="en-US" w:eastAsia="zh-CN"/>
              </w:rPr>
              <w:t>3</w:t>
            </w:r>
            <w:r>
              <w:rPr>
                <w:rFonts w:hint="default" w:ascii="Times New Roman" w:hAnsi="Times New Roman" w:cs="Times New Roman"/>
                <w:bCs/>
                <w:color w:val="auto"/>
                <w:sz w:val="24"/>
                <w:szCs w:val="24"/>
                <w:lang w:val="en-US" w:eastAsia="zh-CN"/>
              </w:rPr>
              <w:t>/a），</w:t>
            </w:r>
            <w:r>
              <w:rPr>
                <w:rFonts w:hint="default" w:ascii="Times New Roman" w:hAnsi="Times New Roman" w:cs="Times New Roman"/>
                <w:color w:val="auto"/>
                <w:sz w:val="24"/>
                <w:szCs w:val="24"/>
              </w:rPr>
              <w:t>排污系数以0.8计，则项目</w:t>
            </w:r>
            <w:r>
              <w:rPr>
                <w:rFonts w:hint="eastAsia" w:cs="Times New Roman"/>
                <w:color w:val="auto"/>
                <w:sz w:val="24"/>
                <w:szCs w:val="24"/>
                <w:lang w:val="en-US" w:eastAsia="zh-CN"/>
              </w:rPr>
              <w:t>污水</w:t>
            </w:r>
            <w:r>
              <w:rPr>
                <w:rFonts w:hint="default" w:ascii="Times New Roman" w:hAnsi="Times New Roman" w:cs="Times New Roman"/>
                <w:color w:val="auto"/>
                <w:sz w:val="24"/>
                <w:szCs w:val="24"/>
              </w:rPr>
              <w:t>产生量为</w:t>
            </w:r>
            <w:r>
              <w:rPr>
                <w:rFonts w:hint="default" w:ascii="Times New Roman" w:hAnsi="Times New Roman" w:cs="Times New Roman"/>
                <w:color w:val="auto"/>
                <w:sz w:val="24"/>
                <w:szCs w:val="24"/>
                <w:lang w:val="en-US" w:eastAsia="zh-CN"/>
              </w:rPr>
              <w:t>0.24</w:t>
            </w:r>
            <w:r>
              <w:rPr>
                <w:rFonts w:hint="default" w:ascii="Times New Roman" w:hAnsi="Times New Roman" w:cs="Times New Roman"/>
                <w:color w:val="auto"/>
                <w:sz w:val="24"/>
                <w:szCs w:val="24"/>
              </w:rPr>
              <w:t>t/d（</w:t>
            </w:r>
            <w:r>
              <w:rPr>
                <w:rFonts w:hint="default" w:ascii="Times New Roman" w:hAnsi="Times New Roman" w:cs="Times New Roman"/>
                <w:color w:val="auto"/>
                <w:sz w:val="24"/>
                <w:szCs w:val="24"/>
                <w:lang w:val="en-US" w:eastAsia="zh-CN"/>
              </w:rPr>
              <w:t>72</w:t>
            </w:r>
            <w:r>
              <w:rPr>
                <w:rFonts w:hint="default" w:ascii="Times New Roman" w:hAnsi="Times New Roman" w:cs="Times New Roman"/>
                <w:color w:val="auto"/>
                <w:sz w:val="24"/>
                <w:szCs w:val="24"/>
              </w:rPr>
              <w:t>t/a），</w:t>
            </w:r>
            <w:r>
              <w:rPr>
                <w:rFonts w:hint="default" w:ascii="Times New Roman" w:hAnsi="Times New Roman" w:eastAsia="宋体" w:cs="Times New Roman"/>
                <w:color w:val="auto"/>
                <w:kern w:val="2"/>
                <w:sz w:val="24"/>
                <w:szCs w:val="24"/>
                <w:highlight w:val="none"/>
                <w:lang w:val="en-US" w:eastAsia="zh-CN" w:bidi="ar-SA"/>
              </w:rPr>
              <w:t>生活</w:t>
            </w:r>
            <w:r>
              <w:rPr>
                <w:rFonts w:hint="eastAsia" w:cs="Times New Roman"/>
                <w:color w:val="auto"/>
                <w:kern w:val="2"/>
                <w:sz w:val="24"/>
                <w:szCs w:val="24"/>
                <w:highlight w:val="none"/>
                <w:lang w:val="en-US" w:eastAsia="zh-CN" w:bidi="ar-SA"/>
              </w:rPr>
              <w:t>污水</w:t>
            </w:r>
            <w:r>
              <w:rPr>
                <w:rFonts w:hint="default" w:ascii="Times New Roman" w:hAnsi="Times New Roman" w:eastAsia="宋体" w:cs="Times New Roman"/>
                <w:color w:val="auto"/>
                <w:kern w:val="2"/>
                <w:sz w:val="24"/>
                <w:szCs w:val="24"/>
                <w:highlight w:val="none"/>
                <w:lang w:val="en-US" w:eastAsia="zh-CN" w:bidi="ar-SA"/>
              </w:rPr>
              <w:t>水质为COD250mg/L、SS180mg/L、NH</w:t>
            </w:r>
            <w:r>
              <w:rPr>
                <w:rFonts w:hint="default" w:ascii="Times New Roman" w:hAnsi="Times New Roman" w:eastAsia="宋体" w:cs="Times New Roman"/>
                <w:color w:val="auto"/>
                <w:kern w:val="2"/>
                <w:sz w:val="24"/>
                <w:szCs w:val="24"/>
                <w:highlight w:val="none"/>
                <w:vertAlign w:val="sub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-N25mg/L、TP3mg/L、TN35mg/L，生活污水经化粪池处理后水质为：COD200mg/L、SS150mg/L、NH</w:t>
            </w:r>
            <w:r>
              <w:rPr>
                <w:rFonts w:hint="default" w:ascii="Times New Roman" w:hAnsi="Times New Roman" w:eastAsia="宋体" w:cs="Times New Roman"/>
                <w:color w:val="auto"/>
                <w:kern w:val="2"/>
                <w:sz w:val="24"/>
                <w:szCs w:val="24"/>
                <w:highlight w:val="none"/>
                <w:vertAlign w:val="sub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-N25mg/L、TP3mg/L、TN35mg/L，生活污水经化粪池处理后，定期清运，不外排。</w:t>
            </w:r>
          </w:p>
          <w:p w14:paraId="7E406B59">
            <w:pPr>
              <w:spacing w:line="440" w:lineRule="exact"/>
              <w:ind w:firstLine="482" w:firstLineChars="200"/>
              <w:rPr>
                <w:rFonts w:ascii="Times New Roman" w:hAnsi="Times New Roman" w:eastAsia="宋体" w:cs="Times New Roman"/>
                <w:b/>
                <w:color w:val="auto"/>
                <w:sz w:val="24"/>
                <w:szCs w:val="20"/>
                <w:highlight w:val="none"/>
                <w:lang w:val="en-US" w:eastAsia="zh-CN"/>
              </w:rPr>
            </w:pPr>
            <w:r>
              <w:rPr>
                <w:rFonts w:ascii="Times New Roman" w:hAnsi="Times New Roman" w:eastAsia="宋体" w:cs="Times New Roman"/>
                <w:b/>
                <w:color w:val="auto"/>
                <w:sz w:val="24"/>
                <w:szCs w:val="20"/>
                <w:highlight w:val="none"/>
                <w:lang w:val="en-US" w:eastAsia="zh-CN"/>
              </w:rPr>
              <w:t>三、噪声</w:t>
            </w:r>
          </w:p>
          <w:p w14:paraId="19EC5950">
            <w:pPr>
              <w:tabs>
                <w:tab w:val="left" w:pos="3620"/>
              </w:tabs>
              <w:adjustRightInd w:val="0"/>
              <w:snapToGrid w:val="0"/>
              <w:spacing w:line="440" w:lineRule="exact"/>
              <w:ind w:firstLine="480" w:firstLineChars="200"/>
              <w:rPr>
                <w:rFonts w:hAnsi="宋体"/>
                <w:color w:val="auto"/>
                <w:sz w:val="24"/>
              </w:rPr>
            </w:pPr>
            <w:r>
              <w:rPr>
                <w:color w:val="auto"/>
                <w:sz w:val="24"/>
              </w:rPr>
              <w:t>项目运营过程中产生的噪声</w:t>
            </w:r>
            <w:r>
              <w:rPr>
                <w:rFonts w:ascii="Times New Roman" w:hAnsi="Times New Roman" w:eastAsia="宋体" w:cs="Times New Roman"/>
                <w:color w:val="auto"/>
                <w:sz w:val="24"/>
              </w:rPr>
              <w:t>主要</w:t>
            </w:r>
            <w:r>
              <w:rPr>
                <w:rFonts w:hint="eastAsia" w:ascii="Times New Roman" w:hAnsi="Times New Roman" w:eastAsia="宋体" w:cs="Times New Roman"/>
                <w:color w:val="auto"/>
                <w:sz w:val="24"/>
                <w:lang w:val="en-US" w:eastAsia="zh-CN"/>
              </w:rPr>
              <w:t>空压机、自动点焊机、自动装配线</w:t>
            </w:r>
            <w:r>
              <w:rPr>
                <w:rFonts w:ascii="Times New Roman" w:hAnsi="Times New Roman" w:eastAsia="宋体" w:cs="Times New Roman"/>
                <w:color w:val="auto"/>
                <w:sz w:val="24"/>
              </w:rPr>
              <w:t>等运行产生的噪声，预计源强约为</w:t>
            </w:r>
            <w:r>
              <w:rPr>
                <w:rFonts w:hint="eastAsia" w:ascii="Times New Roman" w:hAnsi="Times New Roman" w:eastAsia="宋体" w:cs="Times New Roman"/>
                <w:color w:val="auto"/>
                <w:sz w:val="24"/>
                <w:lang w:val="en-US" w:eastAsia="zh-CN"/>
              </w:rPr>
              <w:t>70-80</w:t>
            </w:r>
            <w:r>
              <w:rPr>
                <w:rFonts w:ascii="Times New Roman" w:hAnsi="Times New Roman" w:eastAsia="宋体" w:cs="Times New Roman"/>
                <w:color w:val="auto"/>
                <w:sz w:val="24"/>
              </w:rPr>
              <w:t>dB(A)。声源位于室内，室内声源可采用等效室外声源声功率级法进行计算。设靠近开口处（或窗户）室内、室外某倍频带的声压级或A声级分别为Lp1和L</w:t>
            </w:r>
            <w:r>
              <w:rPr>
                <w:rFonts w:hAnsi="宋体"/>
                <w:color w:val="auto"/>
                <w:sz w:val="24"/>
                <w:vertAlign w:val="subscript"/>
              </w:rPr>
              <w:t>p2</w:t>
            </w:r>
            <w:r>
              <w:rPr>
                <w:rFonts w:hAnsi="宋体"/>
                <w:color w:val="auto"/>
                <w:sz w:val="24"/>
              </w:rPr>
              <w:t>。</w:t>
            </w:r>
          </w:p>
          <w:p w14:paraId="6B3B3729">
            <w:pPr>
              <w:tabs>
                <w:tab w:val="left" w:pos="3620"/>
              </w:tabs>
              <w:adjustRightInd w:val="0"/>
              <w:snapToGrid w:val="0"/>
              <w:spacing w:line="440" w:lineRule="exact"/>
              <w:ind w:firstLine="480" w:firstLineChars="200"/>
              <w:rPr>
                <w:rFonts w:hint="eastAsia" w:hAnsi="宋体"/>
                <w:color w:val="auto"/>
                <w:sz w:val="24"/>
              </w:rPr>
            </w:pPr>
            <w:r>
              <w:rPr>
                <w:rFonts w:hAnsi="宋体"/>
                <w:color w:val="auto"/>
                <w:sz w:val="24"/>
              </w:rPr>
              <w:t>计算某一室内声源靠近围护结构处产生的倍频带声压级或A声级公式如下：</w:t>
            </w:r>
          </w:p>
          <w:p w14:paraId="33E93DFB">
            <w:pPr>
              <w:tabs>
                <w:tab w:val="left" w:pos="3620"/>
              </w:tabs>
              <w:adjustRightInd w:val="0"/>
              <w:snapToGrid w:val="0"/>
              <w:spacing w:line="440" w:lineRule="exact"/>
              <w:ind w:firstLine="480" w:firstLineChars="200"/>
              <w:rPr>
                <w:rFonts w:hAnsi="宋体"/>
                <w:color w:val="auto"/>
                <w:sz w:val="24"/>
              </w:rPr>
            </w:pPr>
            <w:r>
              <w:rPr>
                <w:rFonts w:hAnsi="宋体"/>
                <w:color w:val="auto"/>
                <w:sz w:val="24"/>
              </w:rPr>
              <w:drawing>
                <wp:anchor distT="0" distB="0" distL="114300" distR="114300" simplePos="0" relativeHeight="251659264" behindDoc="1" locked="0" layoutInCell="1" allowOverlap="1">
                  <wp:simplePos x="0" y="0"/>
                  <wp:positionH relativeFrom="column">
                    <wp:posOffset>1238885</wp:posOffset>
                  </wp:positionH>
                  <wp:positionV relativeFrom="paragraph">
                    <wp:posOffset>19050</wp:posOffset>
                  </wp:positionV>
                  <wp:extent cx="2187575" cy="396875"/>
                  <wp:effectExtent l="0" t="0" r="0" b="2540"/>
                  <wp:wrapNone/>
                  <wp:docPr id="5" name="图片 1"/>
                  <wp:cNvGraphicFramePr/>
                  <a:graphic xmlns:a="http://schemas.openxmlformats.org/drawingml/2006/main">
                    <a:graphicData uri="http://schemas.openxmlformats.org/drawingml/2006/picture">
                      <pic:pic xmlns:pic="http://schemas.openxmlformats.org/drawingml/2006/picture">
                        <pic:nvPicPr>
                          <pic:cNvPr id="5" name="图片 1"/>
                          <pic:cNvPicPr/>
                        </pic:nvPicPr>
                        <pic:blipFill>
                          <a:blip r:embed="rId10"/>
                          <a:stretch>
                            <a:fillRect/>
                          </a:stretch>
                        </pic:blipFill>
                        <pic:spPr>
                          <a:xfrm>
                            <a:off x="0" y="0"/>
                            <a:ext cx="2187575" cy="396875"/>
                          </a:xfrm>
                          <a:prstGeom prst="rect">
                            <a:avLst/>
                          </a:prstGeom>
                          <a:noFill/>
                          <a:ln>
                            <a:noFill/>
                          </a:ln>
                        </pic:spPr>
                      </pic:pic>
                    </a:graphicData>
                  </a:graphic>
                </wp:anchor>
              </w:drawing>
            </w:r>
          </w:p>
          <w:p w14:paraId="6A26171A">
            <w:pPr>
              <w:tabs>
                <w:tab w:val="left" w:pos="3620"/>
              </w:tabs>
              <w:adjustRightInd w:val="0"/>
              <w:snapToGrid w:val="0"/>
              <w:spacing w:line="440" w:lineRule="exact"/>
              <w:ind w:firstLine="480" w:firstLineChars="200"/>
              <w:rPr>
                <w:rFonts w:hAnsi="宋体"/>
                <w:color w:val="auto"/>
                <w:sz w:val="24"/>
              </w:rPr>
            </w:pPr>
          </w:p>
          <w:p w14:paraId="4E641BA0">
            <w:pPr>
              <w:tabs>
                <w:tab w:val="left" w:pos="3620"/>
              </w:tabs>
              <w:adjustRightInd w:val="0"/>
              <w:snapToGrid w:val="0"/>
              <w:spacing w:line="440" w:lineRule="exact"/>
              <w:ind w:firstLine="480" w:firstLineChars="200"/>
              <w:rPr>
                <w:rFonts w:hAnsi="宋体"/>
                <w:color w:val="auto"/>
                <w:sz w:val="24"/>
              </w:rPr>
            </w:pPr>
            <w:r>
              <w:rPr>
                <w:rFonts w:hAnsi="宋体"/>
                <w:color w:val="auto"/>
                <w:sz w:val="24"/>
              </w:rPr>
              <w:t>式中：L</w:t>
            </w:r>
            <w:r>
              <w:rPr>
                <w:rFonts w:hAnsi="宋体"/>
                <w:color w:val="auto"/>
                <w:sz w:val="24"/>
                <w:vertAlign w:val="subscript"/>
              </w:rPr>
              <w:t>p1——</w:t>
            </w:r>
            <w:r>
              <w:rPr>
                <w:rFonts w:hAnsi="宋体"/>
                <w:color w:val="auto"/>
                <w:sz w:val="24"/>
              </w:rPr>
              <w:t>靠近开口处（或窗户）室内某倍频带的声压级或A声级，dB；</w:t>
            </w:r>
          </w:p>
          <w:p w14:paraId="7168379D">
            <w:pPr>
              <w:tabs>
                <w:tab w:val="left" w:pos="3620"/>
              </w:tabs>
              <w:adjustRightInd w:val="0"/>
              <w:snapToGrid w:val="0"/>
              <w:spacing w:line="440" w:lineRule="exact"/>
              <w:ind w:firstLine="960" w:firstLineChars="400"/>
              <w:rPr>
                <w:rFonts w:hAnsi="宋体"/>
                <w:color w:val="auto"/>
                <w:sz w:val="24"/>
              </w:rPr>
            </w:pPr>
            <w:r>
              <w:rPr>
                <w:rFonts w:hint="eastAsia" w:hAnsi="宋体"/>
                <w:color w:val="auto"/>
                <w:sz w:val="24"/>
              </w:rPr>
              <w:t xml:space="preserve">  </w:t>
            </w:r>
            <w:r>
              <w:rPr>
                <w:rFonts w:hAnsi="宋体"/>
                <w:color w:val="auto"/>
                <w:sz w:val="24"/>
              </w:rPr>
              <w:t>L</w:t>
            </w:r>
            <w:r>
              <w:rPr>
                <w:rFonts w:hAnsi="宋体"/>
                <w:color w:val="auto"/>
                <w:sz w:val="24"/>
                <w:vertAlign w:val="subscript"/>
              </w:rPr>
              <w:t>w1</w:t>
            </w:r>
            <w:r>
              <w:rPr>
                <w:rFonts w:hAnsi="宋体"/>
                <w:color w:val="auto"/>
                <w:sz w:val="24"/>
              </w:rPr>
              <w:t>—点声源声功率级（A计权或倍频带），dB；</w:t>
            </w:r>
          </w:p>
          <w:p w14:paraId="3108CE36">
            <w:pPr>
              <w:tabs>
                <w:tab w:val="left" w:pos="3620"/>
              </w:tabs>
              <w:adjustRightInd w:val="0"/>
              <w:snapToGrid w:val="0"/>
              <w:spacing w:line="440" w:lineRule="exact"/>
              <w:ind w:firstLine="480" w:firstLineChars="200"/>
              <w:rPr>
                <w:rFonts w:hAnsi="宋体"/>
                <w:color w:val="auto"/>
                <w:sz w:val="24"/>
              </w:rPr>
            </w:pPr>
            <w:r>
              <w:rPr>
                <w:rFonts w:hAnsi="宋体"/>
                <w:color w:val="auto"/>
                <w:sz w:val="24"/>
              </w:rPr>
              <w:t xml:space="preserve"> </w:t>
            </w:r>
            <w:r>
              <w:rPr>
                <w:rFonts w:hint="eastAsia" w:hAnsi="宋体"/>
                <w:color w:val="auto"/>
                <w:sz w:val="24"/>
              </w:rPr>
              <w:t xml:space="preserve">     </w:t>
            </w:r>
            <w:r>
              <w:rPr>
                <w:rFonts w:hAnsi="宋体"/>
                <w:color w:val="auto"/>
                <w:sz w:val="24"/>
              </w:rPr>
              <w:t>Q—指向性因数；通常对无指向性声源，当声源放在房间中心时，Q=1；当放在一面墙的中心时，Q=2；当放在两面墙夹角处时，Q=4；当放在三面墙夹角处时，Q=8；本项目</w:t>
            </w:r>
            <w:r>
              <w:rPr>
                <w:rFonts w:hint="eastAsia" w:hAnsi="宋体"/>
                <w:color w:val="auto"/>
                <w:sz w:val="24"/>
              </w:rPr>
              <w:t>Q值取</w:t>
            </w:r>
            <w:r>
              <w:rPr>
                <w:rFonts w:hint="eastAsia" w:hAnsi="宋体"/>
                <w:color w:val="auto"/>
                <w:sz w:val="24"/>
                <w:lang w:val="en-US" w:eastAsia="zh-CN"/>
              </w:rPr>
              <w:t>4</w:t>
            </w:r>
            <w:r>
              <w:rPr>
                <w:rFonts w:hint="eastAsia" w:hAnsi="宋体"/>
                <w:color w:val="auto"/>
                <w:sz w:val="24"/>
              </w:rPr>
              <w:t>。</w:t>
            </w:r>
          </w:p>
          <w:p w14:paraId="4A7FF020">
            <w:pPr>
              <w:tabs>
                <w:tab w:val="left" w:pos="3620"/>
              </w:tabs>
              <w:adjustRightInd w:val="0"/>
              <w:snapToGrid w:val="0"/>
              <w:spacing w:line="440" w:lineRule="exact"/>
              <w:ind w:firstLine="480" w:firstLineChars="200"/>
              <w:rPr>
                <w:rFonts w:hAnsi="宋体"/>
                <w:color w:val="auto"/>
                <w:sz w:val="24"/>
                <w:highlight w:val="none"/>
              </w:rPr>
            </w:pPr>
            <w:r>
              <w:rPr>
                <w:rFonts w:hint="eastAsia" w:hAnsi="宋体"/>
                <w:color w:val="auto"/>
                <w:sz w:val="24"/>
              </w:rPr>
              <w:t xml:space="preserve">      </w:t>
            </w:r>
            <w:r>
              <w:rPr>
                <w:rFonts w:hAnsi="宋体"/>
                <w:color w:val="auto"/>
                <w:sz w:val="24"/>
              </w:rPr>
              <w:t>R——房间常数；R</w:t>
            </w:r>
            <w:r>
              <w:rPr>
                <w:rFonts w:hint="default" w:ascii="Times New Roman" w:hAnsi="Times New Roman" w:cs="Times New Roman"/>
                <w:color w:val="auto"/>
                <w:sz w:val="24"/>
              </w:rPr>
              <w:t>=Sα/（1-α）</w:t>
            </w:r>
            <w:r>
              <w:rPr>
                <w:rFonts w:hAnsi="宋体"/>
                <w:color w:val="auto"/>
                <w:sz w:val="24"/>
              </w:rPr>
              <w:t>，S为房间内表面面积，m</w:t>
            </w:r>
            <w:r>
              <w:rPr>
                <w:rFonts w:hAnsi="宋体"/>
                <w:color w:val="auto"/>
                <w:sz w:val="24"/>
                <w:vertAlign w:val="superscript"/>
              </w:rPr>
              <w:t>2</w:t>
            </w:r>
            <w:r>
              <w:rPr>
                <w:rFonts w:hAnsi="宋体"/>
                <w:color w:val="auto"/>
                <w:sz w:val="24"/>
              </w:rPr>
              <w:t>；α为平均吸声系数，</w:t>
            </w:r>
            <w:r>
              <w:rPr>
                <w:rFonts w:hAnsi="宋体"/>
                <w:color w:val="auto"/>
                <w:sz w:val="24"/>
                <w:highlight w:val="none"/>
              </w:rPr>
              <w:t>取平均吸声系数</w:t>
            </w:r>
            <w:r>
              <w:rPr>
                <w:rFonts w:hint="eastAsia" w:hAnsi="宋体"/>
                <w:color w:val="auto"/>
                <w:sz w:val="24"/>
                <w:highlight w:val="none"/>
                <w:lang w:val="en-US" w:eastAsia="zh-CN"/>
              </w:rPr>
              <w:t>0.6</w:t>
            </w:r>
            <w:r>
              <w:rPr>
                <w:rFonts w:hAnsi="宋体"/>
                <w:color w:val="auto"/>
                <w:sz w:val="24"/>
                <w:highlight w:val="none"/>
              </w:rPr>
              <w:t>；</w:t>
            </w:r>
            <w:r>
              <w:rPr>
                <w:rFonts w:hint="eastAsia" w:hAnsi="宋体"/>
                <w:color w:val="auto"/>
                <w:sz w:val="24"/>
                <w:highlight w:val="none"/>
                <w:lang w:val="en-US" w:eastAsia="zh-CN"/>
              </w:rPr>
              <w:t>1#生产</w:t>
            </w:r>
            <w:r>
              <w:rPr>
                <w:rFonts w:hint="eastAsia" w:hAnsi="宋体"/>
                <w:color w:val="auto"/>
                <w:sz w:val="24"/>
                <w:highlight w:val="none"/>
              </w:rPr>
              <w:t>车间</w:t>
            </w:r>
            <w:r>
              <w:rPr>
                <w:rFonts w:hint="eastAsia" w:hAnsi="宋体"/>
                <w:color w:val="auto"/>
                <w:sz w:val="24"/>
                <w:highlight w:val="none"/>
                <w:lang w:val="en-US" w:eastAsia="zh-CN"/>
              </w:rPr>
              <w:t>内表面积为654</w:t>
            </w:r>
            <w:r>
              <w:rPr>
                <w:rFonts w:hAnsi="宋体"/>
                <w:color w:val="auto"/>
                <w:sz w:val="24"/>
                <w:highlight w:val="none"/>
              </w:rPr>
              <w:t>m</w:t>
            </w:r>
            <w:r>
              <w:rPr>
                <w:rFonts w:hAnsi="宋体"/>
                <w:color w:val="auto"/>
                <w:sz w:val="24"/>
                <w:highlight w:val="none"/>
                <w:vertAlign w:val="superscript"/>
              </w:rPr>
              <w:t>2</w:t>
            </w:r>
            <w:r>
              <w:rPr>
                <w:rFonts w:hAnsi="宋体"/>
                <w:color w:val="auto"/>
                <w:sz w:val="24"/>
                <w:highlight w:val="none"/>
              </w:rPr>
              <w:t>，则R</w:t>
            </w:r>
            <w:r>
              <w:rPr>
                <w:rFonts w:hint="eastAsia" w:hAnsi="宋体"/>
                <w:color w:val="auto"/>
                <w:sz w:val="24"/>
                <w:highlight w:val="none"/>
                <w:vertAlign w:val="subscript"/>
                <w:lang w:val="en-US" w:eastAsia="zh-CN"/>
              </w:rPr>
              <w:t>1</w:t>
            </w:r>
            <w:r>
              <w:rPr>
                <w:rFonts w:hAnsi="宋体"/>
                <w:color w:val="auto"/>
                <w:sz w:val="24"/>
                <w:highlight w:val="none"/>
              </w:rPr>
              <w:t>=</w:t>
            </w:r>
            <w:r>
              <w:rPr>
                <w:rFonts w:hint="eastAsia" w:hAnsi="宋体"/>
                <w:color w:val="auto"/>
                <w:sz w:val="24"/>
                <w:highlight w:val="none"/>
                <w:lang w:val="en-US" w:eastAsia="zh-CN"/>
              </w:rPr>
              <w:t>436；2#生产车间</w:t>
            </w:r>
            <w:r>
              <w:rPr>
                <w:rFonts w:hAnsi="宋体"/>
                <w:color w:val="auto"/>
                <w:sz w:val="24"/>
                <w:highlight w:val="none"/>
              </w:rPr>
              <w:t>内表面积</w:t>
            </w:r>
            <w:r>
              <w:rPr>
                <w:rFonts w:hint="eastAsia" w:hAnsi="宋体"/>
                <w:color w:val="auto"/>
                <w:sz w:val="24"/>
                <w:highlight w:val="none"/>
              </w:rPr>
              <w:t>为</w:t>
            </w:r>
            <w:r>
              <w:rPr>
                <w:rFonts w:hint="eastAsia" w:hAnsi="宋体"/>
                <w:color w:val="auto"/>
                <w:sz w:val="24"/>
                <w:highlight w:val="none"/>
                <w:lang w:val="en-US" w:eastAsia="zh-CN"/>
              </w:rPr>
              <w:t>1368</w:t>
            </w:r>
            <w:r>
              <w:rPr>
                <w:rFonts w:hAnsi="宋体"/>
                <w:color w:val="auto"/>
                <w:sz w:val="24"/>
                <w:highlight w:val="none"/>
              </w:rPr>
              <w:t>m</w:t>
            </w:r>
            <w:r>
              <w:rPr>
                <w:rFonts w:hAnsi="宋体"/>
                <w:color w:val="auto"/>
                <w:sz w:val="24"/>
                <w:highlight w:val="none"/>
                <w:vertAlign w:val="superscript"/>
              </w:rPr>
              <w:t>2</w:t>
            </w:r>
            <w:r>
              <w:rPr>
                <w:rFonts w:hAnsi="宋体"/>
                <w:color w:val="auto"/>
                <w:sz w:val="24"/>
                <w:highlight w:val="none"/>
              </w:rPr>
              <w:t>，则R=</w:t>
            </w:r>
            <w:r>
              <w:rPr>
                <w:rFonts w:hint="eastAsia" w:hAnsi="宋体"/>
                <w:color w:val="auto"/>
                <w:sz w:val="24"/>
                <w:highlight w:val="none"/>
                <w:lang w:val="en-US" w:eastAsia="zh-CN"/>
              </w:rPr>
              <w:t>912；</w:t>
            </w:r>
          </w:p>
          <w:p w14:paraId="76F45D2C">
            <w:pPr>
              <w:tabs>
                <w:tab w:val="left" w:pos="3620"/>
              </w:tabs>
              <w:adjustRightInd w:val="0"/>
              <w:snapToGrid w:val="0"/>
              <w:spacing w:line="440" w:lineRule="exact"/>
              <w:ind w:firstLine="480" w:firstLineChars="200"/>
              <w:rPr>
                <w:rFonts w:hAnsi="宋体"/>
                <w:color w:val="auto"/>
                <w:sz w:val="24"/>
              </w:rPr>
            </w:pPr>
            <w:r>
              <w:rPr>
                <w:rFonts w:hint="eastAsia" w:hAnsi="宋体"/>
                <w:color w:val="auto"/>
                <w:sz w:val="24"/>
                <w:highlight w:val="none"/>
              </w:rPr>
              <w:t xml:space="preserve">      </w:t>
            </w:r>
            <w:r>
              <w:rPr>
                <w:rFonts w:hAnsi="宋体"/>
                <w:color w:val="auto"/>
                <w:sz w:val="24"/>
                <w:highlight w:val="none"/>
              </w:rPr>
              <w:t>r——声</w:t>
            </w:r>
            <w:r>
              <w:rPr>
                <w:rFonts w:hAnsi="宋体"/>
                <w:color w:val="auto"/>
                <w:sz w:val="24"/>
              </w:rPr>
              <w:t>源到靠近围护结构某点处的距离，m</w:t>
            </w:r>
          </w:p>
          <w:p w14:paraId="27DBE405">
            <w:pPr>
              <w:tabs>
                <w:tab w:val="left" w:pos="3620"/>
              </w:tabs>
              <w:adjustRightInd w:val="0"/>
              <w:snapToGrid w:val="0"/>
              <w:spacing w:line="440" w:lineRule="exact"/>
              <w:ind w:firstLine="480" w:firstLineChars="200"/>
              <w:rPr>
                <w:rFonts w:hAnsi="宋体"/>
                <w:color w:val="auto"/>
                <w:sz w:val="24"/>
              </w:rPr>
            </w:pPr>
            <w:r>
              <w:rPr>
                <w:rFonts w:hAnsi="宋体"/>
                <w:color w:val="auto"/>
                <w:sz w:val="24"/>
              </w:rPr>
              <w:t>然后按下式计算出所有室内声源在围护结构处产生的i倍频带叠加声压级：</w:t>
            </w:r>
          </w:p>
          <w:p w14:paraId="00D74152">
            <w:pPr>
              <w:tabs>
                <w:tab w:val="left" w:pos="3620"/>
              </w:tabs>
              <w:adjustRightInd w:val="0"/>
              <w:snapToGrid w:val="0"/>
              <w:jc w:val="center"/>
              <w:rPr>
                <w:rFonts w:hint="eastAsia" w:hAnsi="宋体"/>
                <w:color w:val="auto"/>
                <w:sz w:val="24"/>
              </w:rPr>
            </w:pPr>
            <w:r>
              <w:rPr>
                <w:rFonts w:hAnsi="宋体"/>
                <w:color w:val="auto"/>
                <w:sz w:val="24"/>
              </w:rPr>
              <w:drawing>
                <wp:inline distT="0" distB="0" distL="114300" distR="114300">
                  <wp:extent cx="1801495" cy="476250"/>
                  <wp:effectExtent l="0" t="0" r="8255" b="0"/>
                  <wp:docPr id="4" name="图片 2" descr="167334497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1673344973300"/>
                          <pic:cNvPicPr>
                            <a:picLocks noChangeAspect="1"/>
                          </pic:cNvPicPr>
                        </pic:nvPicPr>
                        <pic:blipFill>
                          <a:blip r:embed="rId11"/>
                          <a:stretch>
                            <a:fillRect/>
                          </a:stretch>
                        </pic:blipFill>
                        <pic:spPr>
                          <a:xfrm>
                            <a:off x="0" y="0"/>
                            <a:ext cx="1801495" cy="476250"/>
                          </a:xfrm>
                          <a:prstGeom prst="rect">
                            <a:avLst/>
                          </a:prstGeom>
                          <a:noFill/>
                          <a:ln>
                            <a:noFill/>
                          </a:ln>
                        </pic:spPr>
                      </pic:pic>
                    </a:graphicData>
                  </a:graphic>
                </wp:inline>
              </w:drawing>
            </w:r>
          </w:p>
          <w:p w14:paraId="5B4BD3FD">
            <w:pPr>
              <w:tabs>
                <w:tab w:val="left" w:pos="3620"/>
              </w:tabs>
              <w:adjustRightInd w:val="0"/>
              <w:snapToGrid w:val="0"/>
              <w:spacing w:line="440" w:lineRule="exact"/>
              <w:ind w:firstLine="480" w:firstLineChars="200"/>
              <w:rPr>
                <w:rFonts w:hAnsi="宋体"/>
                <w:color w:val="auto"/>
                <w:sz w:val="24"/>
              </w:rPr>
            </w:pPr>
            <w:r>
              <w:rPr>
                <w:rFonts w:hAnsi="宋体"/>
                <w:color w:val="auto"/>
                <w:sz w:val="24"/>
              </w:rPr>
              <w:t>式中：L</w:t>
            </w:r>
            <w:r>
              <w:rPr>
                <w:rFonts w:hAnsi="宋体"/>
                <w:color w:val="auto"/>
                <w:sz w:val="24"/>
                <w:vertAlign w:val="subscript"/>
              </w:rPr>
              <w:t>p1i</w:t>
            </w:r>
            <w:r>
              <w:rPr>
                <w:rFonts w:hAnsi="宋体"/>
                <w:color w:val="auto"/>
                <w:sz w:val="24"/>
              </w:rPr>
              <w:t>（T）——靠近围护结构处室内N个声源i倍频带的叠加声压级，dB；</w:t>
            </w:r>
          </w:p>
          <w:p w14:paraId="5D1AE658">
            <w:pPr>
              <w:tabs>
                <w:tab w:val="left" w:pos="3620"/>
              </w:tabs>
              <w:adjustRightInd w:val="0"/>
              <w:snapToGrid w:val="0"/>
              <w:spacing w:line="440" w:lineRule="exact"/>
              <w:ind w:firstLine="480" w:firstLineChars="200"/>
              <w:rPr>
                <w:rFonts w:hAnsi="宋体"/>
                <w:color w:val="auto"/>
                <w:sz w:val="24"/>
              </w:rPr>
            </w:pPr>
            <w:r>
              <w:rPr>
                <w:rFonts w:hAnsi="宋体"/>
                <w:color w:val="auto"/>
                <w:sz w:val="24"/>
              </w:rPr>
              <w:t xml:space="preserve">         L</w:t>
            </w:r>
            <w:r>
              <w:rPr>
                <w:rFonts w:hAnsi="宋体"/>
                <w:color w:val="auto"/>
                <w:sz w:val="24"/>
                <w:vertAlign w:val="subscript"/>
              </w:rPr>
              <w:t>p1ij</w:t>
            </w:r>
            <w:r>
              <w:rPr>
                <w:rFonts w:hAnsi="宋体"/>
                <w:color w:val="auto"/>
                <w:sz w:val="24"/>
              </w:rPr>
              <w:t>——室内j声源i倍频带的声压级，dB；</w:t>
            </w:r>
          </w:p>
          <w:p w14:paraId="02248BDF">
            <w:pPr>
              <w:tabs>
                <w:tab w:val="left" w:pos="3620"/>
              </w:tabs>
              <w:adjustRightInd w:val="0"/>
              <w:snapToGrid w:val="0"/>
              <w:spacing w:line="440" w:lineRule="exact"/>
              <w:ind w:firstLine="480" w:firstLineChars="200"/>
              <w:rPr>
                <w:rFonts w:hAnsi="宋体"/>
                <w:color w:val="auto"/>
                <w:sz w:val="24"/>
              </w:rPr>
            </w:pPr>
            <w:r>
              <w:rPr>
                <w:rFonts w:hint="eastAsia" w:hAnsi="宋体"/>
                <w:color w:val="auto"/>
                <w:sz w:val="24"/>
              </w:rPr>
              <w:t xml:space="preserve">   </w:t>
            </w:r>
            <w:r>
              <w:rPr>
                <w:rFonts w:hAnsi="宋体"/>
                <w:color w:val="auto"/>
                <w:sz w:val="24"/>
              </w:rPr>
              <w:t xml:space="preserve">      N——室内声源总数。</w:t>
            </w:r>
          </w:p>
          <w:p w14:paraId="511BF174">
            <w:pPr>
              <w:tabs>
                <w:tab w:val="left" w:pos="3620"/>
              </w:tabs>
              <w:adjustRightInd w:val="0"/>
              <w:snapToGrid w:val="0"/>
              <w:spacing w:line="440" w:lineRule="exact"/>
              <w:ind w:firstLine="480" w:firstLineChars="200"/>
              <w:rPr>
                <w:rFonts w:hAnsi="宋体"/>
                <w:color w:val="auto"/>
                <w:sz w:val="24"/>
              </w:rPr>
            </w:pPr>
            <w:r>
              <w:rPr>
                <w:rFonts w:hAnsi="宋体"/>
                <w:color w:val="auto"/>
                <w:sz w:val="24"/>
              </w:rPr>
              <w:t>在室内近似为扩散声场时，按下式计算出靠近室外围护结构处的声压级：</w:t>
            </w:r>
          </w:p>
          <w:p w14:paraId="760B5B5F">
            <w:pPr>
              <w:tabs>
                <w:tab w:val="left" w:pos="3620"/>
              </w:tabs>
              <w:adjustRightInd w:val="0"/>
              <w:snapToGrid w:val="0"/>
              <w:spacing w:line="440" w:lineRule="exact"/>
              <w:ind w:firstLine="480" w:firstLineChars="200"/>
              <w:jc w:val="center"/>
              <w:rPr>
                <w:rFonts w:hAnsi="宋体"/>
                <w:color w:val="auto"/>
                <w:sz w:val="24"/>
              </w:rPr>
            </w:pPr>
            <w:r>
              <w:rPr>
                <w:rFonts w:hAnsi="宋体"/>
                <w:color w:val="auto"/>
                <w:sz w:val="24"/>
              </w:rPr>
              <w:t>L</w:t>
            </w:r>
            <w:r>
              <w:rPr>
                <w:rFonts w:hAnsi="宋体"/>
                <w:color w:val="auto"/>
                <w:sz w:val="24"/>
                <w:vertAlign w:val="subscript"/>
              </w:rPr>
              <w:t>p2i</w:t>
            </w:r>
            <w:r>
              <w:rPr>
                <w:rFonts w:hAnsi="宋体"/>
                <w:color w:val="auto"/>
                <w:sz w:val="24"/>
              </w:rPr>
              <w:t>（T）=L</w:t>
            </w:r>
            <w:r>
              <w:rPr>
                <w:rFonts w:hAnsi="宋体"/>
                <w:color w:val="auto"/>
                <w:sz w:val="24"/>
                <w:vertAlign w:val="subscript"/>
              </w:rPr>
              <w:t>p1i</w:t>
            </w:r>
            <w:r>
              <w:rPr>
                <w:rFonts w:hAnsi="宋体"/>
                <w:color w:val="auto"/>
                <w:sz w:val="24"/>
              </w:rPr>
              <w:t>（T）-（TL</w:t>
            </w:r>
            <w:r>
              <w:rPr>
                <w:rFonts w:hAnsi="宋体"/>
                <w:color w:val="auto"/>
                <w:sz w:val="24"/>
                <w:vertAlign w:val="subscript"/>
              </w:rPr>
              <w:t>i</w:t>
            </w:r>
            <w:r>
              <w:rPr>
                <w:rFonts w:hAnsi="宋体"/>
                <w:color w:val="auto"/>
                <w:sz w:val="24"/>
              </w:rPr>
              <w:t>+6）</w:t>
            </w:r>
          </w:p>
          <w:p w14:paraId="178D6A96">
            <w:pPr>
              <w:tabs>
                <w:tab w:val="left" w:pos="3620"/>
              </w:tabs>
              <w:adjustRightInd w:val="0"/>
              <w:snapToGrid w:val="0"/>
              <w:spacing w:line="440" w:lineRule="exact"/>
              <w:ind w:firstLine="480" w:firstLineChars="200"/>
              <w:rPr>
                <w:rFonts w:hAnsi="宋体"/>
                <w:color w:val="auto"/>
                <w:sz w:val="24"/>
              </w:rPr>
            </w:pPr>
            <w:r>
              <w:rPr>
                <w:rFonts w:hAnsi="宋体"/>
                <w:color w:val="auto"/>
                <w:sz w:val="24"/>
              </w:rPr>
              <w:t>式中：L</w:t>
            </w:r>
            <w:r>
              <w:rPr>
                <w:rFonts w:hAnsi="宋体"/>
                <w:color w:val="auto"/>
                <w:sz w:val="24"/>
                <w:vertAlign w:val="subscript"/>
              </w:rPr>
              <w:t>p2i</w:t>
            </w:r>
            <w:r>
              <w:rPr>
                <w:rFonts w:hAnsi="宋体"/>
                <w:color w:val="auto"/>
                <w:sz w:val="24"/>
              </w:rPr>
              <w:t>（T）——靠近围护结构处室外N个声源i倍频带的叠加声压级，dB；</w:t>
            </w:r>
          </w:p>
          <w:p w14:paraId="3076E380">
            <w:pPr>
              <w:tabs>
                <w:tab w:val="left" w:pos="3620"/>
              </w:tabs>
              <w:adjustRightInd w:val="0"/>
              <w:snapToGrid w:val="0"/>
              <w:spacing w:line="440" w:lineRule="exact"/>
              <w:ind w:firstLine="480" w:firstLineChars="200"/>
              <w:rPr>
                <w:rFonts w:hAnsi="宋体"/>
                <w:color w:val="auto"/>
                <w:sz w:val="24"/>
              </w:rPr>
            </w:pPr>
            <w:r>
              <w:rPr>
                <w:rFonts w:hint="eastAsia" w:hAnsi="宋体"/>
                <w:color w:val="auto"/>
                <w:sz w:val="24"/>
              </w:rPr>
              <w:t xml:space="preserve">      </w:t>
            </w:r>
            <w:r>
              <w:rPr>
                <w:rFonts w:hAnsi="宋体"/>
                <w:color w:val="auto"/>
                <w:sz w:val="24"/>
              </w:rPr>
              <w:t>L</w:t>
            </w:r>
            <w:r>
              <w:rPr>
                <w:rFonts w:hAnsi="宋体"/>
                <w:color w:val="auto"/>
                <w:sz w:val="24"/>
                <w:vertAlign w:val="subscript"/>
              </w:rPr>
              <w:t>p1i</w:t>
            </w:r>
            <w:r>
              <w:rPr>
                <w:rFonts w:hAnsi="宋体"/>
                <w:color w:val="auto"/>
                <w:sz w:val="24"/>
              </w:rPr>
              <w:t>（T）——靠近围护结构处室内N个声源i倍频带的叠加声压级，dB；</w:t>
            </w:r>
          </w:p>
          <w:p w14:paraId="40F3809A">
            <w:pPr>
              <w:tabs>
                <w:tab w:val="left" w:pos="3620"/>
              </w:tabs>
              <w:adjustRightInd w:val="0"/>
              <w:snapToGrid w:val="0"/>
              <w:spacing w:line="440" w:lineRule="exact"/>
              <w:ind w:firstLine="480" w:firstLineChars="200"/>
              <w:rPr>
                <w:rFonts w:hAnsi="宋体"/>
                <w:color w:val="auto"/>
                <w:sz w:val="24"/>
              </w:rPr>
            </w:pPr>
            <w:r>
              <w:rPr>
                <w:rFonts w:hint="eastAsia" w:hAnsi="宋体"/>
                <w:color w:val="auto"/>
                <w:sz w:val="24"/>
              </w:rPr>
              <w:t xml:space="preserve">      </w:t>
            </w:r>
            <w:r>
              <w:rPr>
                <w:rFonts w:hAnsi="宋体"/>
                <w:color w:val="auto"/>
                <w:sz w:val="24"/>
              </w:rPr>
              <w:t>TL</w:t>
            </w:r>
            <w:r>
              <w:rPr>
                <w:rFonts w:hAnsi="宋体"/>
                <w:color w:val="auto"/>
                <w:sz w:val="24"/>
                <w:vertAlign w:val="subscript"/>
              </w:rPr>
              <w:t>i</w:t>
            </w:r>
            <w:r>
              <w:rPr>
                <w:rFonts w:hAnsi="宋体"/>
                <w:color w:val="auto"/>
                <w:sz w:val="24"/>
              </w:rPr>
              <w:t>——围护结构i倍频带的隔声量，dB；</w:t>
            </w:r>
          </w:p>
          <w:p w14:paraId="5DD24041">
            <w:pPr>
              <w:spacing w:line="440" w:lineRule="exact"/>
              <w:ind w:firstLine="480" w:firstLineChars="200"/>
              <w:rPr>
                <w:color w:val="auto"/>
                <w:sz w:val="24"/>
              </w:rPr>
            </w:pPr>
            <w:r>
              <w:rPr>
                <w:color w:val="auto"/>
                <w:sz w:val="24"/>
              </w:rPr>
              <w:t>本项目主要噪声源的等效声级及治理情况见下表。</w:t>
            </w:r>
          </w:p>
          <w:p w14:paraId="3CAE1906">
            <w:pPr>
              <w:pStyle w:val="2"/>
              <w:rPr>
                <w:color w:val="auto"/>
                <w:sz w:val="24"/>
              </w:rPr>
            </w:pPr>
          </w:p>
          <w:p w14:paraId="49C5B06C">
            <w:pPr>
              <w:rPr>
                <w:color w:val="auto"/>
                <w:sz w:val="24"/>
              </w:rPr>
            </w:pPr>
          </w:p>
          <w:p w14:paraId="008FD981">
            <w:pPr>
              <w:pStyle w:val="2"/>
              <w:rPr>
                <w:color w:val="auto"/>
                <w:sz w:val="24"/>
              </w:rPr>
            </w:pPr>
          </w:p>
          <w:p w14:paraId="3F824537">
            <w:pPr>
              <w:rPr>
                <w:color w:val="auto"/>
                <w:sz w:val="24"/>
              </w:rPr>
            </w:pPr>
          </w:p>
          <w:p w14:paraId="1C7B4694">
            <w:pPr>
              <w:pStyle w:val="2"/>
              <w:rPr>
                <w:color w:val="auto"/>
                <w:sz w:val="24"/>
              </w:rPr>
            </w:pPr>
          </w:p>
          <w:p w14:paraId="515CB9DF">
            <w:pPr>
              <w:rPr>
                <w:color w:val="auto"/>
                <w:sz w:val="24"/>
              </w:rPr>
            </w:pPr>
          </w:p>
          <w:p w14:paraId="353B8DAF">
            <w:pPr>
              <w:pStyle w:val="2"/>
              <w:rPr>
                <w:color w:val="auto"/>
                <w:sz w:val="24"/>
              </w:rPr>
            </w:pPr>
          </w:p>
          <w:p w14:paraId="67AAE5D5">
            <w:pPr>
              <w:rPr>
                <w:color w:val="auto"/>
                <w:sz w:val="24"/>
              </w:rPr>
            </w:pPr>
          </w:p>
          <w:p w14:paraId="78946806">
            <w:pPr>
              <w:spacing w:line="440" w:lineRule="exact"/>
              <w:jc w:val="center"/>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s="Times New Roman"/>
                <w:color w:val="auto"/>
                <w:kern w:val="2"/>
                <w:sz w:val="24"/>
                <w:szCs w:val="24"/>
                <w:highlight w:val="none"/>
                <w:lang w:val="en-US" w:eastAsia="zh-CN" w:bidi="ar-SA"/>
              </w:rPr>
              <w:t>表16            本项目主要设备的噪声级</w:t>
            </w:r>
          </w:p>
          <w:tbl>
            <w:tblPr>
              <w:tblStyle w:val="17"/>
              <w:tblW w:w="7957"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306"/>
              <w:gridCol w:w="337"/>
              <w:gridCol w:w="761"/>
              <w:gridCol w:w="384"/>
              <w:gridCol w:w="680"/>
              <w:gridCol w:w="403"/>
              <w:gridCol w:w="525"/>
              <w:gridCol w:w="660"/>
              <w:gridCol w:w="345"/>
              <w:gridCol w:w="525"/>
              <w:gridCol w:w="585"/>
              <w:gridCol w:w="600"/>
              <w:gridCol w:w="679"/>
              <w:gridCol w:w="621"/>
              <w:gridCol w:w="546"/>
            </w:tblGrid>
            <w:tr w14:paraId="47D52E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vMerge w:val="restart"/>
                  <w:tcBorders>
                    <w:top w:val="single" w:color="auto" w:sz="8" w:space="0"/>
                  </w:tcBorders>
                  <w:noWrap w:val="0"/>
                  <w:vAlign w:val="center"/>
                </w:tcPr>
                <w:p w14:paraId="32B80836">
                  <w:pPr>
                    <w:tabs>
                      <w:tab w:val="left" w:pos="3620"/>
                    </w:tabs>
                    <w:adjustRightInd w:val="0"/>
                    <w:snapToGrid w:val="0"/>
                    <w:jc w:val="center"/>
                    <w:rPr>
                      <w:b/>
                      <w:color w:val="auto"/>
                      <w:szCs w:val="21"/>
                    </w:rPr>
                  </w:pPr>
                  <w:r>
                    <w:rPr>
                      <w:rFonts w:hAnsi="宋体"/>
                      <w:b/>
                      <w:color w:val="auto"/>
                      <w:szCs w:val="21"/>
                    </w:rPr>
                    <w:t>序号</w:t>
                  </w:r>
                </w:p>
              </w:tc>
              <w:tc>
                <w:tcPr>
                  <w:tcW w:w="337" w:type="dxa"/>
                  <w:vMerge w:val="restart"/>
                  <w:tcBorders>
                    <w:top w:val="single" w:color="auto" w:sz="8" w:space="0"/>
                  </w:tcBorders>
                  <w:noWrap w:val="0"/>
                  <w:vAlign w:val="center"/>
                </w:tcPr>
                <w:p w14:paraId="0DF2C588">
                  <w:pPr>
                    <w:tabs>
                      <w:tab w:val="left" w:pos="3620"/>
                    </w:tabs>
                    <w:adjustRightInd w:val="0"/>
                    <w:snapToGrid w:val="0"/>
                    <w:jc w:val="center"/>
                    <w:rPr>
                      <w:b/>
                      <w:color w:val="auto"/>
                      <w:szCs w:val="21"/>
                    </w:rPr>
                  </w:pPr>
                  <w:r>
                    <w:rPr>
                      <w:rFonts w:hAnsi="宋体"/>
                      <w:b/>
                      <w:color w:val="auto"/>
                      <w:szCs w:val="21"/>
                    </w:rPr>
                    <w:t>建筑物</w:t>
                  </w:r>
                </w:p>
                <w:p w14:paraId="2171383C">
                  <w:pPr>
                    <w:tabs>
                      <w:tab w:val="left" w:pos="3620"/>
                    </w:tabs>
                    <w:adjustRightInd w:val="0"/>
                    <w:snapToGrid w:val="0"/>
                    <w:jc w:val="center"/>
                    <w:rPr>
                      <w:b/>
                      <w:color w:val="auto"/>
                      <w:szCs w:val="21"/>
                    </w:rPr>
                  </w:pPr>
                  <w:r>
                    <w:rPr>
                      <w:rFonts w:hAnsi="宋体"/>
                      <w:b/>
                      <w:color w:val="auto"/>
                      <w:szCs w:val="21"/>
                    </w:rPr>
                    <w:t>名称</w:t>
                  </w:r>
                </w:p>
              </w:tc>
              <w:tc>
                <w:tcPr>
                  <w:tcW w:w="761" w:type="dxa"/>
                  <w:vMerge w:val="restart"/>
                  <w:tcBorders>
                    <w:top w:val="single" w:color="auto" w:sz="8" w:space="0"/>
                  </w:tcBorders>
                  <w:noWrap w:val="0"/>
                  <w:vAlign w:val="center"/>
                </w:tcPr>
                <w:p w14:paraId="230B5F91">
                  <w:pPr>
                    <w:tabs>
                      <w:tab w:val="left" w:pos="3620"/>
                    </w:tabs>
                    <w:adjustRightInd w:val="0"/>
                    <w:snapToGrid w:val="0"/>
                    <w:jc w:val="center"/>
                    <w:rPr>
                      <w:b/>
                      <w:color w:val="auto"/>
                      <w:szCs w:val="21"/>
                    </w:rPr>
                  </w:pPr>
                  <w:r>
                    <w:rPr>
                      <w:rFonts w:hAnsi="宋体"/>
                      <w:b/>
                      <w:color w:val="auto"/>
                      <w:szCs w:val="21"/>
                    </w:rPr>
                    <w:t>声源名称</w:t>
                  </w:r>
                </w:p>
              </w:tc>
              <w:tc>
                <w:tcPr>
                  <w:tcW w:w="384" w:type="dxa"/>
                  <w:vMerge w:val="restart"/>
                  <w:tcBorders>
                    <w:top w:val="single" w:color="auto" w:sz="8" w:space="0"/>
                  </w:tcBorders>
                  <w:noWrap w:val="0"/>
                  <w:vAlign w:val="center"/>
                </w:tcPr>
                <w:p w14:paraId="03A7A25C">
                  <w:pPr>
                    <w:tabs>
                      <w:tab w:val="left" w:pos="3620"/>
                    </w:tabs>
                    <w:adjustRightInd w:val="0"/>
                    <w:snapToGrid w:val="0"/>
                    <w:jc w:val="center"/>
                    <w:rPr>
                      <w:b/>
                      <w:color w:val="auto"/>
                      <w:szCs w:val="21"/>
                    </w:rPr>
                  </w:pPr>
                  <w:r>
                    <w:rPr>
                      <w:rFonts w:hAnsi="宋体"/>
                      <w:b/>
                      <w:color w:val="auto"/>
                      <w:szCs w:val="21"/>
                    </w:rPr>
                    <w:t>型号</w:t>
                  </w:r>
                </w:p>
              </w:tc>
              <w:tc>
                <w:tcPr>
                  <w:tcW w:w="680" w:type="dxa"/>
                  <w:vMerge w:val="restart"/>
                  <w:tcBorders>
                    <w:top w:val="single" w:color="auto" w:sz="8" w:space="0"/>
                  </w:tcBorders>
                  <w:noWrap w:val="0"/>
                  <w:vAlign w:val="center"/>
                </w:tcPr>
                <w:p w14:paraId="67DB4A44">
                  <w:pPr>
                    <w:tabs>
                      <w:tab w:val="left" w:pos="3620"/>
                    </w:tabs>
                    <w:adjustRightInd w:val="0"/>
                    <w:snapToGrid w:val="0"/>
                    <w:jc w:val="center"/>
                    <w:rPr>
                      <w:b/>
                      <w:color w:val="auto"/>
                      <w:szCs w:val="21"/>
                    </w:rPr>
                  </w:pPr>
                  <w:r>
                    <w:rPr>
                      <w:rFonts w:hAnsi="宋体"/>
                      <w:b/>
                      <w:color w:val="auto"/>
                      <w:szCs w:val="21"/>
                    </w:rPr>
                    <w:t>声功率级</w:t>
                  </w:r>
                  <w:r>
                    <w:rPr>
                      <w:b/>
                      <w:color w:val="auto"/>
                      <w:szCs w:val="21"/>
                    </w:rPr>
                    <w:t>/dB</w:t>
                  </w:r>
                  <w:r>
                    <w:rPr>
                      <w:rFonts w:hAnsi="宋体"/>
                      <w:b/>
                      <w:color w:val="auto"/>
                      <w:szCs w:val="21"/>
                    </w:rPr>
                    <w:t>（</w:t>
                  </w:r>
                  <w:r>
                    <w:rPr>
                      <w:b/>
                      <w:color w:val="auto"/>
                      <w:szCs w:val="21"/>
                    </w:rPr>
                    <w:t>A</w:t>
                  </w:r>
                  <w:r>
                    <w:rPr>
                      <w:rFonts w:hAnsi="宋体"/>
                      <w:b/>
                      <w:color w:val="auto"/>
                      <w:szCs w:val="21"/>
                    </w:rPr>
                    <w:t>）</w:t>
                  </w:r>
                </w:p>
              </w:tc>
              <w:tc>
                <w:tcPr>
                  <w:tcW w:w="403" w:type="dxa"/>
                  <w:vMerge w:val="restart"/>
                  <w:tcBorders>
                    <w:top w:val="single" w:color="auto" w:sz="8" w:space="0"/>
                  </w:tcBorders>
                  <w:noWrap w:val="0"/>
                  <w:vAlign w:val="center"/>
                </w:tcPr>
                <w:p w14:paraId="72BD905F">
                  <w:pPr>
                    <w:tabs>
                      <w:tab w:val="left" w:pos="3620"/>
                    </w:tabs>
                    <w:adjustRightInd w:val="0"/>
                    <w:snapToGrid w:val="0"/>
                    <w:jc w:val="center"/>
                    <w:rPr>
                      <w:b/>
                      <w:color w:val="auto"/>
                      <w:szCs w:val="21"/>
                    </w:rPr>
                  </w:pPr>
                  <w:r>
                    <w:rPr>
                      <w:rFonts w:hAnsi="宋体"/>
                      <w:b/>
                      <w:color w:val="auto"/>
                      <w:szCs w:val="21"/>
                    </w:rPr>
                    <w:t>声源控制措施</w:t>
                  </w:r>
                </w:p>
              </w:tc>
              <w:tc>
                <w:tcPr>
                  <w:tcW w:w="1530" w:type="dxa"/>
                  <w:gridSpan w:val="3"/>
                  <w:tcBorders>
                    <w:top w:val="single" w:color="auto" w:sz="8" w:space="0"/>
                  </w:tcBorders>
                  <w:noWrap w:val="0"/>
                  <w:vAlign w:val="center"/>
                </w:tcPr>
                <w:p w14:paraId="452816B8">
                  <w:pPr>
                    <w:tabs>
                      <w:tab w:val="left" w:pos="3620"/>
                    </w:tabs>
                    <w:adjustRightInd w:val="0"/>
                    <w:snapToGrid w:val="0"/>
                    <w:jc w:val="center"/>
                    <w:rPr>
                      <w:b/>
                      <w:color w:val="auto"/>
                      <w:szCs w:val="21"/>
                    </w:rPr>
                  </w:pPr>
                  <w:r>
                    <w:rPr>
                      <w:rFonts w:hAnsi="宋体"/>
                      <w:b/>
                      <w:color w:val="auto"/>
                      <w:szCs w:val="21"/>
                    </w:rPr>
                    <w:t>空间相对位置</w:t>
                  </w:r>
                  <w:r>
                    <w:rPr>
                      <w:b/>
                      <w:color w:val="auto"/>
                      <w:szCs w:val="21"/>
                    </w:rPr>
                    <w:t>/m</w:t>
                  </w:r>
                </w:p>
              </w:tc>
              <w:tc>
                <w:tcPr>
                  <w:tcW w:w="525" w:type="dxa"/>
                  <w:vMerge w:val="restart"/>
                  <w:tcBorders>
                    <w:top w:val="single" w:color="auto" w:sz="8" w:space="0"/>
                  </w:tcBorders>
                  <w:noWrap w:val="0"/>
                  <w:vAlign w:val="center"/>
                </w:tcPr>
                <w:p w14:paraId="5465057B">
                  <w:pPr>
                    <w:tabs>
                      <w:tab w:val="left" w:pos="3620"/>
                    </w:tabs>
                    <w:adjustRightInd w:val="0"/>
                    <w:snapToGrid w:val="0"/>
                    <w:jc w:val="center"/>
                    <w:rPr>
                      <w:b/>
                      <w:color w:val="auto"/>
                      <w:szCs w:val="21"/>
                    </w:rPr>
                  </w:pPr>
                  <w:r>
                    <w:rPr>
                      <w:rFonts w:hAnsi="宋体"/>
                      <w:b/>
                      <w:color w:val="auto"/>
                      <w:szCs w:val="21"/>
                    </w:rPr>
                    <w:t>距室内边界距离</w:t>
                  </w:r>
                  <w:r>
                    <w:rPr>
                      <w:b/>
                      <w:color w:val="auto"/>
                      <w:szCs w:val="21"/>
                    </w:rPr>
                    <w:t>/m</w:t>
                  </w:r>
                </w:p>
              </w:tc>
              <w:tc>
                <w:tcPr>
                  <w:tcW w:w="585" w:type="dxa"/>
                  <w:vMerge w:val="restart"/>
                  <w:tcBorders>
                    <w:top w:val="single" w:color="auto" w:sz="8" w:space="0"/>
                  </w:tcBorders>
                  <w:noWrap w:val="0"/>
                  <w:vAlign w:val="center"/>
                </w:tcPr>
                <w:p w14:paraId="330A207F">
                  <w:pPr>
                    <w:tabs>
                      <w:tab w:val="left" w:pos="3620"/>
                    </w:tabs>
                    <w:adjustRightInd w:val="0"/>
                    <w:snapToGrid w:val="0"/>
                    <w:jc w:val="center"/>
                    <w:rPr>
                      <w:b/>
                      <w:color w:val="auto"/>
                      <w:szCs w:val="21"/>
                    </w:rPr>
                  </w:pPr>
                  <w:r>
                    <w:rPr>
                      <w:rFonts w:hAnsi="宋体"/>
                      <w:b/>
                      <w:color w:val="auto"/>
                      <w:szCs w:val="21"/>
                    </w:rPr>
                    <w:t>室内边界声</w:t>
                  </w:r>
                  <w:r>
                    <w:rPr>
                      <w:rFonts w:hint="eastAsia" w:hAnsi="宋体"/>
                      <w:b/>
                      <w:color w:val="auto"/>
                      <w:szCs w:val="21"/>
                      <w:lang w:val="en-US" w:eastAsia="zh-CN"/>
                    </w:rPr>
                    <w:t>压</w:t>
                  </w:r>
                  <w:r>
                    <w:rPr>
                      <w:rFonts w:hAnsi="宋体"/>
                      <w:b/>
                      <w:color w:val="auto"/>
                      <w:szCs w:val="21"/>
                    </w:rPr>
                    <w:t>级</w:t>
                  </w:r>
                  <w:r>
                    <w:rPr>
                      <w:b/>
                      <w:color w:val="auto"/>
                      <w:szCs w:val="21"/>
                    </w:rPr>
                    <w:t>/dB</w:t>
                  </w:r>
                  <w:r>
                    <w:rPr>
                      <w:rFonts w:hAnsi="宋体"/>
                      <w:b/>
                      <w:color w:val="auto"/>
                      <w:szCs w:val="21"/>
                    </w:rPr>
                    <w:t>（</w:t>
                  </w:r>
                  <w:r>
                    <w:rPr>
                      <w:b/>
                      <w:color w:val="auto"/>
                      <w:szCs w:val="21"/>
                    </w:rPr>
                    <w:t>A</w:t>
                  </w:r>
                  <w:r>
                    <w:rPr>
                      <w:rFonts w:hAnsi="宋体"/>
                      <w:b/>
                      <w:color w:val="auto"/>
                      <w:szCs w:val="21"/>
                    </w:rPr>
                    <w:t>）</w:t>
                  </w:r>
                </w:p>
              </w:tc>
              <w:tc>
                <w:tcPr>
                  <w:tcW w:w="600" w:type="dxa"/>
                  <w:vMerge w:val="restart"/>
                  <w:tcBorders>
                    <w:top w:val="single" w:color="auto" w:sz="8" w:space="0"/>
                  </w:tcBorders>
                  <w:noWrap w:val="0"/>
                  <w:vAlign w:val="center"/>
                </w:tcPr>
                <w:p w14:paraId="33AE30DC">
                  <w:pPr>
                    <w:tabs>
                      <w:tab w:val="left" w:pos="3620"/>
                    </w:tabs>
                    <w:adjustRightInd w:val="0"/>
                    <w:snapToGrid w:val="0"/>
                    <w:jc w:val="center"/>
                    <w:rPr>
                      <w:b/>
                      <w:color w:val="auto"/>
                      <w:szCs w:val="21"/>
                    </w:rPr>
                  </w:pPr>
                  <w:r>
                    <w:rPr>
                      <w:rFonts w:hAnsi="宋体"/>
                      <w:b/>
                      <w:color w:val="auto"/>
                      <w:szCs w:val="21"/>
                    </w:rPr>
                    <w:t>运行时间</w:t>
                  </w:r>
                </w:p>
              </w:tc>
              <w:tc>
                <w:tcPr>
                  <w:tcW w:w="679" w:type="dxa"/>
                  <w:vMerge w:val="restart"/>
                  <w:tcBorders>
                    <w:top w:val="single" w:color="auto" w:sz="8" w:space="0"/>
                  </w:tcBorders>
                  <w:noWrap w:val="0"/>
                  <w:vAlign w:val="center"/>
                </w:tcPr>
                <w:p w14:paraId="42306AB5">
                  <w:pPr>
                    <w:tabs>
                      <w:tab w:val="left" w:pos="3620"/>
                    </w:tabs>
                    <w:adjustRightInd w:val="0"/>
                    <w:snapToGrid w:val="0"/>
                    <w:jc w:val="center"/>
                    <w:rPr>
                      <w:b/>
                      <w:color w:val="auto"/>
                      <w:szCs w:val="21"/>
                    </w:rPr>
                  </w:pPr>
                  <w:r>
                    <w:rPr>
                      <w:rFonts w:hAnsi="宋体"/>
                      <w:b/>
                      <w:color w:val="auto"/>
                      <w:szCs w:val="21"/>
                    </w:rPr>
                    <w:t>建筑物插入损失</w:t>
                  </w:r>
                  <w:r>
                    <w:rPr>
                      <w:b/>
                      <w:color w:val="auto"/>
                      <w:szCs w:val="21"/>
                    </w:rPr>
                    <w:t>/dB</w:t>
                  </w:r>
                  <w:r>
                    <w:rPr>
                      <w:rFonts w:hAnsi="宋体"/>
                      <w:b/>
                      <w:color w:val="auto"/>
                      <w:szCs w:val="21"/>
                    </w:rPr>
                    <w:t>（</w:t>
                  </w:r>
                  <w:r>
                    <w:rPr>
                      <w:b/>
                      <w:color w:val="auto"/>
                      <w:szCs w:val="21"/>
                    </w:rPr>
                    <w:t>A</w:t>
                  </w:r>
                  <w:r>
                    <w:rPr>
                      <w:rFonts w:hAnsi="宋体"/>
                      <w:b/>
                      <w:color w:val="auto"/>
                      <w:szCs w:val="21"/>
                    </w:rPr>
                    <w:t>）</w:t>
                  </w:r>
                </w:p>
              </w:tc>
              <w:tc>
                <w:tcPr>
                  <w:tcW w:w="1167" w:type="dxa"/>
                  <w:gridSpan w:val="2"/>
                  <w:tcBorders>
                    <w:top w:val="single" w:color="auto" w:sz="8" w:space="0"/>
                  </w:tcBorders>
                  <w:noWrap w:val="0"/>
                  <w:vAlign w:val="center"/>
                </w:tcPr>
                <w:p w14:paraId="4F2F90CF">
                  <w:pPr>
                    <w:tabs>
                      <w:tab w:val="left" w:pos="3620"/>
                    </w:tabs>
                    <w:adjustRightInd w:val="0"/>
                    <w:snapToGrid w:val="0"/>
                    <w:jc w:val="center"/>
                    <w:rPr>
                      <w:b/>
                      <w:color w:val="auto"/>
                      <w:szCs w:val="21"/>
                    </w:rPr>
                  </w:pPr>
                  <w:r>
                    <w:rPr>
                      <w:rFonts w:hAnsi="宋体"/>
                      <w:b/>
                      <w:color w:val="auto"/>
                      <w:szCs w:val="21"/>
                    </w:rPr>
                    <w:t>建筑物外噪声</w:t>
                  </w:r>
                </w:p>
              </w:tc>
            </w:tr>
            <w:tr w14:paraId="196AAD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vMerge w:val="continue"/>
                  <w:tcBorders>
                    <w:bottom w:val="single" w:color="auto" w:sz="8" w:space="0"/>
                  </w:tcBorders>
                  <w:noWrap w:val="0"/>
                  <w:vAlign w:val="center"/>
                </w:tcPr>
                <w:p w14:paraId="0269F75C">
                  <w:pPr>
                    <w:tabs>
                      <w:tab w:val="left" w:pos="3620"/>
                    </w:tabs>
                    <w:adjustRightInd w:val="0"/>
                    <w:snapToGrid w:val="0"/>
                    <w:jc w:val="center"/>
                    <w:rPr>
                      <w:b/>
                      <w:color w:val="auto"/>
                      <w:szCs w:val="21"/>
                    </w:rPr>
                  </w:pPr>
                </w:p>
              </w:tc>
              <w:tc>
                <w:tcPr>
                  <w:tcW w:w="337" w:type="dxa"/>
                  <w:vMerge w:val="continue"/>
                  <w:tcBorders>
                    <w:bottom w:val="single" w:color="auto" w:sz="8" w:space="0"/>
                  </w:tcBorders>
                  <w:noWrap w:val="0"/>
                  <w:vAlign w:val="center"/>
                </w:tcPr>
                <w:p w14:paraId="389658F4">
                  <w:pPr>
                    <w:tabs>
                      <w:tab w:val="left" w:pos="3620"/>
                    </w:tabs>
                    <w:adjustRightInd w:val="0"/>
                    <w:snapToGrid w:val="0"/>
                    <w:jc w:val="center"/>
                    <w:rPr>
                      <w:b/>
                      <w:color w:val="auto"/>
                      <w:szCs w:val="21"/>
                    </w:rPr>
                  </w:pPr>
                </w:p>
              </w:tc>
              <w:tc>
                <w:tcPr>
                  <w:tcW w:w="761" w:type="dxa"/>
                  <w:vMerge w:val="continue"/>
                  <w:tcBorders>
                    <w:bottom w:val="single" w:color="auto" w:sz="8" w:space="0"/>
                  </w:tcBorders>
                  <w:noWrap w:val="0"/>
                  <w:vAlign w:val="center"/>
                </w:tcPr>
                <w:p w14:paraId="6C0606D1">
                  <w:pPr>
                    <w:tabs>
                      <w:tab w:val="left" w:pos="3620"/>
                    </w:tabs>
                    <w:adjustRightInd w:val="0"/>
                    <w:snapToGrid w:val="0"/>
                    <w:jc w:val="center"/>
                    <w:rPr>
                      <w:b/>
                      <w:color w:val="auto"/>
                      <w:szCs w:val="21"/>
                    </w:rPr>
                  </w:pPr>
                </w:p>
              </w:tc>
              <w:tc>
                <w:tcPr>
                  <w:tcW w:w="384" w:type="dxa"/>
                  <w:vMerge w:val="continue"/>
                  <w:tcBorders>
                    <w:bottom w:val="single" w:color="auto" w:sz="8" w:space="0"/>
                  </w:tcBorders>
                  <w:noWrap w:val="0"/>
                  <w:vAlign w:val="center"/>
                </w:tcPr>
                <w:p w14:paraId="14474E9F">
                  <w:pPr>
                    <w:tabs>
                      <w:tab w:val="left" w:pos="3620"/>
                    </w:tabs>
                    <w:adjustRightInd w:val="0"/>
                    <w:snapToGrid w:val="0"/>
                    <w:jc w:val="center"/>
                    <w:rPr>
                      <w:b/>
                      <w:color w:val="auto"/>
                      <w:szCs w:val="21"/>
                    </w:rPr>
                  </w:pPr>
                </w:p>
              </w:tc>
              <w:tc>
                <w:tcPr>
                  <w:tcW w:w="680" w:type="dxa"/>
                  <w:vMerge w:val="continue"/>
                  <w:tcBorders>
                    <w:bottom w:val="single" w:color="auto" w:sz="8" w:space="0"/>
                  </w:tcBorders>
                  <w:noWrap w:val="0"/>
                  <w:vAlign w:val="center"/>
                </w:tcPr>
                <w:p w14:paraId="40409454">
                  <w:pPr>
                    <w:tabs>
                      <w:tab w:val="left" w:pos="3620"/>
                    </w:tabs>
                    <w:adjustRightInd w:val="0"/>
                    <w:snapToGrid w:val="0"/>
                    <w:jc w:val="center"/>
                    <w:rPr>
                      <w:b/>
                      <w:color w:val="auto"/>
                      <w:szCs w:val="21"/>
                    </w:rPr>
                  </w:pPr>
                </w:p>
              </w:tc>
              <w:tc>
                <w:tcPr>
                  <w:tcW w:w="403" w:type="dxa"/>
                  <w:vMerge w:val="continue"/>
                  <w:tcBorders>
                    <w:bottom w:val="single" w:color="auto" w:sz="8" w:space="0"/>
                  </w:tcBorders>
                  <w:noWrap w:val="0"/>
                  <w:vAlign w:val="center"/>
                </w:tcPr>
                <w:p w14:paraId="67327E03">
                  <w:pPr>
                    <w:tabs>
                      <w:tab w:val="left" w:pos="3620"/>
                    </w:tabs>
                    <w:adjustRightInd w:val="0"/>
                    <w:snapToGrid w:val="0"/>
                    <w:jc w:val="center"/>
                    <w:rPr>
                      <w:b/>
                      <w:color w:val="auto"/>
                      <w:szCs w:val="21"/>
                    </w:rPr>
                  </w:pPr>
                </w:p>
              </w:tc>
              <w:tc>
                <w:tcPr>
                  <w:tcW w:w="525" w:type="dxa"/>
                  <w:tcBorders>
                    <w:bottom w:val="single" w:color="auto" w:sz="8" w:space="0"/>
                  </w:tcBorders>
                  <w:noWrap w:val="0"/>
                  <w:vAlign w:val="center"/>
                </w:tcPr>
                <w:p w14:paraId="16E42D0D">
                  <w:pPr>
                    <w:tabs>
                      <w:tab w:val="left" w:pos="3620"/>
                    </w:tabs>
                    <w:adjustRightInd w:val="0"/>
                    <w:snapToGrid w:val="0"/>
                    <w:jc w:val="center"/>
                    <w:rPr>
                      <w:b/>
                      <w:color w:val="auto"/>
                      <w:szCs w:val="21"/>
                    </w:rPr>
                  </w:pPr>
                  <w:r>
                    <w:rPr>
                      <w:b/>
                      <w:color w:val="auto"/>
                      <w:szCs w:val="21"/>
                    </w:rPr>
                    <w:t>X</w:t>
                  </w:r>
                </w:p>
              </w:tc>
              <w:tc>
                <w:tcPr>
                  <w:tcW w:w="660" w:type="dxa"/>
                  <w:tcBorders>
                    <w:bottom w:val="single" w:color="auto" w:sz="8" w:space="0"/>
                  </w:tcBorders>
                  <w:noWrap w:val="0"/>
                  <w:vAlign w:val="center"/>
                </w:tcPr>
                <w:p w14:paraId="0D998C72">
                  <w:pPr>
                    <w:tabs>
                      <w:tab w:val="left" w:pos="3620"/>
                    </w:tabs>
                    <w:adjustRightInd w:val="0"/>
                    <w:snapToGrid w:val="0"/>
                    <w:jc w:val="center"/>
                    <w:rPr>
                      <w:b/>
                      <w:color w:val="auto"/>
                      <w:szCs w:val="21"/>
                    </w:rPr>
                  </w:pPr>
                  <w:r>
                    <w:rPr>
                      <w:b/>
                      <w:color w:val="auto"/>
                      <w:szCs w:val="21"/>
                    </w:rPr>
                    <w:t>Y</w:t>
                  </w:r>
                </w:p>
              </w:tc>
              <w:tc>
                <w:tcPr>
                  <w:tcW w:w="345" w:type="dxa"/>
                  <w:tcBorders>
                    <w:bottom w:val="single" w:color="auto" w:sz="8" w:space="0"/>
                  </w:tcBorders>
                  <w:noWrap w:val="0"/>
                  <w:vAlign w:val="center"/>
                </w:tcPr>
                <w:p w14:paraId="76D52DE5">
                  <w:pPr>
                    <w:tabs>
                      <w:tab w:val="left" w:pos="3620"/>
                    </w:tabs>
                    <w:adjustRightInd w:val="0"/>
                    <w:snapToGrid w:val="0"/>
                    <w:jc w:val="center"/>
                    <w:rPr>
                      <w:b/>
                      <w:color w:val="auto"/>
                      <w:szCs w:val="21"/>
                    </w:rPr>
                  </w:pPr>
                  <w:r>
                    <w:rPr>
                      <w:b/>
                      <w:color w:val="auto"/>
                      <w:szCs w:val="21"/>
                    </w:rPr>
                    <w:t>Z</w:t>
                  </w:r>
                </w:p>
              </w:tc>
              <w:tc>
                <w:tcPr>
                  <w:tcW w:w="525" w:type="dxa"/>
                  <w:vMerge w:val="continue"/>
                  <w:tcBorders>
                    <w:bottom w:val="single" w:color="auto" w:sz="8" w:space="0"/>
                  </w:tcBorders>
                  <w:noWrap w:val="0"/>
                  <w:vAlign w:val="center"/>
                </w:tcPr>
                <w:p w14:paraId="7C999E87">
                  <w:pPr>
                    <w:tabs>
                      <w:tab w:val="left" w:pos="3620"/>
                    </w:tabs>
                    <w:adjustRightInd w:val="0"/>
                    <w:snapToGrid w:val="0"/>
                    <w:jc w:val="center"/>
                    <w:rPr>
                      <w:b/>
                      <w:color w:val="auto"/>
                      <w:szCs w:val="21"/>
                    </w:rPr>
                  </w:pPr>
                </w:p>
              </w:tc>
              <w:tc>
                <w:tcPr>
                  <w:tcW w:w="585" w:type="dxa"/>
                  <w:vMerge w:val="continue"/>
                  <w:tcBorders>
                    <w:bottom w:val="single" w:color="auto" w:sz="8" w:space="0"/>
                  </w:tcBorders>
                  <w:noWrap w:val="0"/>
                  <w:vAlign w:val="center"/>
                </w:tcPr>
                <w:p w14:paraId="2326B921">
                  <w:pPr>
                    <w:tabs>
                      <w:tab w:val="left" w:pos="3620"/>
                    </w:tabs>
                    <w:adjustRightInd w:val="0"/>
                    <w:snapToGrid w:val="0"/>
                    <w:jc w:val="center"/>
                    <w:rPr>
                      <w:b/>
                      <w:color w:val="auto"/>
                      <w:szCs w:val="21"/>
                    </w:rPr>
                  </w:pPr>
                </w:p>
              </w:tc>
              <w:tc>
                <w:tcPr>
                  <w:tcW w:w="600" w:type="dxa"/>
                  <w:vMerge w:val="continue"/>
                  <w:tcBorders>
                    <w:bottom w:val="single" w:color="auto" w:sz="8" w:space="0"/>
                  </w:tcBorders>
                  <w:noWrap w:val="0"/>
                  <w:vAlign w:val="center"/>
                </w:tcPr>
                <w:p w14:paraId="1B21ED5B">
                  <w:pPr>
                    <w:tabs>
                      <w:tab w:val="left" w:pos="3620"/>
                    </w:tabs>
                    <w:adjustRightInd w:val="0"/>
                    <w:snapToGrid w:val="0"/>
                    <w:jc w:val="center"/>
                    <w:rPr>
                      <w:b/>
                      <w:color w:val="auto"/>
                      <w:szCs w:val="21"/>
                    </w:rPr>
                  </w:pPr>
                </w:p>
              </w:tc>
              <w:tc>
                <w:tcPr>
                  <w:tcW w:w="679" w:type="dxa"/>
                  <w:vMerge w:val="continue"/>
                  <w:tcBorders>
                    <w:bottom w:val="single" w:color="auto" w:sz="8" w:space="0"/>
                  </w:tcBorders>
                  <w:noWrap w:val="0"/>
                  <w:vAlign w:val="center"/>
                </w:tcPr>
                <w:p w14:paraId="52A4FB46">
                  <w:pPr>
                    <w:tabs>
                      <w:tab w:val="left" w:pos="3620"/>
                    </w:tabs>
                    <w:adjustRightInd w:val="0"/>
                    <w:snapToGrid w:val="0"/>
                    <w:jc w:val="center"/>
                    <w:rPr>
                      <w:b/>
                      <w:color w:val="auto"/>
                      <w:szCs w:val="21"/>
                    </w:rPr>
                  </w:pPr>
                </w:p>
              </w:tc>
              <w:tc>
                <w:tcPr>
                  <w:tcW w:w="621" w:type="dxa"/>
                  <w:tcBorders>
                    <w:bottom w:val="single" w:color="auto" w:sz="8" w:space="0"/>
                  </w:tcBorders>
                  <w:noWrap w:val="0"/>
                  <w:vAlign w:val="center"/>
                </w:tcPr>
                <w:p w14:paraId="71ADAEF8">
                  <w:pPr>
                    <w:tabs>
                      <w:tab w:val="left" w:pos="3620"/>
                    </w:tabs>
                    <w:adjustRightInd w:val="0"/>
                    <w:snapToGrid w:val="0"/>
                    <w:jc w:val="center"/>
                    <w:rPr>
                      <w:b/>
                      <w:color w:val="auto"/>
                      <w:szCs w:val="21"/>
                    </w:rPr>
                  </w:pPr>
                  <w:r>
                    <w:rPr>
                      <w:rFonts w:hAnsi="宋体"/>
                      <w:b/>
                      <w:color w:val="auto"/>
                      <w:szCs w:val="21"/>
                    </w:rPr>
                    <w:t>声压级</w:t>
                  </w:r>
                  <w:r>
                    <w:rPr>
                      <w:b/>
                      <w:color w:val="auto"/>
                      <w:szCs w:val="21"/>
                    </w:rPr>
                    <w:t>/dB</w:t>
                  </w:r>
                  <w:r>
                    <w:rPr>
                      <w:rFonts w:hAnsi="宋体"/>
                      <w:b/>
                      <w:color w:val="auto"/>
                      <w:szCs w:val="21"/>
                    </w:rPr>
                    <w:t>（</w:t>
                  </w:r>
                  <w:r>
                    <w:rPr>
                      <w:b/>
                      <w:color w:val="auto"/>
                      <w:szCs w:val="21"/>
                    </w:rPr>
                    <w:t>A</w:t>
                  </w:r>
                  <w:r>
                    <w:rPr>
                      <w:rFonts w:hAnsi="宋体"/>
                      <w:b/>
                      <w:color w:val="auto"/>
                      <w:szCs w:val="21"/>
                    </w:rPr>
                    <w:t>）</w:t>
                  </w:r>
                </w:p>
              </w:tc>
              <w:tc>
                <w:tcPr>
                  <w:tcW w:w="546" w:type="dxa"/>
                  <w:tcBorders>
                    <w:bottom w:val="single" w:color="auto" w:sz="8" w:space="0"/>
                  </w:tcBorders>
                  <w:noWrap w:val="0"/>
                  <w:vAlign w:val="center"/>
                </w:tcPr>
                <w:p w14:paraId="276F1ED5">
                  <w:pPr>
                    <w:tabs>
                      <w:tab w:val="left" w:pos="3620"/>
                    </w:tabs>
                    <w:adjustRightInd w:val="0"/>
                    <w:snapToGrid w:val="0"/>
                    <w:jc w:val="center"/>
                    <w:rPr>
                      <w:b/>
                      <w:color w:val="auto"/>
                      <w:szCs w:val="21"/>
                    </w:rPr>
                  </w:pPr>
                  <w:r>
                    <w:rPr>
                      <w:rFonts w:hAnsi="宋体"/>
                      <w:b/>
                      <w:color w:val="auto"/>
                      <w:szCs w:val="21"/>
                    </w:rPr>
                    <w:t>建筑物外距离</w:t>
                  </w:r>
                  <w:r>
                    <w:rPr>
                      <w:b/>
                      <w:color w:val="auto"/>
                      <w:szCs w:val="21"/>
                    </w:rPr>
                    <w:t>/m</w:t>
                  </w:r>
                </w:p>
              </w:tc>
            </w:tr>
            <w:tr w14:paraId="37C54A7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tcBorders>
                    <w:top w:val="single" w:color="auto" w:sz="8" w:space="0"/>
                  </w:tcBorders>
                  <w:noWrap w:val="0"/>
                  <w:vAlign w:val="center"/>
                </w:tcPr>
                <w:p w14:paraId="7638193F">
                  <w:pPr>
                    <w:tabs>
                      <w:tab w:val="left" w:pos="3620"/>
                    </w:tabs>
                    <w:adjustRightInd w:val="0"/>
                    <w:snapToGrid w:val="0"/>
                    <w:jc w:val="center"/>
                    <w:rPr>
                      <w:bCs/>
                      <w:color w:val="auto"/>
                      <w:szCs w:val="21"/>
                    </w:rPr>
                  </w:pPr>
                  <w:r>
                    <w:rPr>
                      <w:bCs/>
                      <w:color w:val="auto"/>
                      <w:szCs w:val="21"/>
                    </w:rPr>
                    <w:t>1</w:t>
                  </w:r>
                </w:p>
              </w:tc>
              <w:tc>
                <w:tcPr>
                  <w:tcW w:w="337" w:type="dxa"/>
                  <w:vMerge w:val="restart"/>
                  <w:tcBorders>
                    <w:top w:val="single" w:color="auto" w:sz="8" w:space="0"/>
                  </w:tcBorders>
                  <w:noWrap w:val="0"/>
                  <w:vAlign w:val="center"/>
                </w:tcPr>
                <w:p w14:paraId="4F2E1B24">
                  <w:pPr>
                    <w:tabs>
                      <w:tab w:val="left" w:pos="3620"/>
                    </w:tabs>
                    <w:adjustRightInd w:val="0"/>
                    <w:snapToGrid w:val="0"/>
                    <w:jc w:val="center"/>
                    <w:rPr>
                      <w:bCs/>
                      <w:color w:val="auto"/>
                      <w:szCs w:val="21"/>
                    </w:rPr>
                  </w:pPr>
                  <w:r>
                    <w:rPr>
                      <w:rFonts w:hint="eastAsia" w:hAnsi="宋体"/>
                      <w:bCs/>
                      <w:color w:val="auto"/>
                      <w:szCs w:val="21"/>
                      <w:lang w:val="en-US" w:eastAsia="zh-CN"/>
                    </w:rPr>
                    <w:t>1#</w:t>
                  </w:r>
                  <w:r>
                    <w:rPr>
                      <w:rFonts w:hAnsi="宋体"/>
                      <w:bCs/>
                      <w:color w:val="auto"/>
                      <w:szCs w:val="21"/>
                    </w:rPr>
                    <w:t>生产车间</w:t>
                  </w:r>
                </w:p>
              </w:tc>
              <w:tc>
                <w:tcPr>
                  <w:tcW w:w="761" w:type="dxa"/>
                  <w:tcBorders>
                    <w:top w:val="single" w:color="auto" w:sz="8" w:space="0"/>
                  </w:tcBorders>
                  <w:noWrap w:val="0"/>
                  <w:vAlign w:val="center"/>
                </w:tcPr>
                <w:p w14:paraId="2759405A">
                  <w:pPr>
                    <w:tabs>
                      <w:tab w:val="left" w:pos="3620"/>
                    </w:tabs>
                    <w:adjustRightInd w:val="0"/>
                    <w:snapToGrid w:val="0"/>
                    <w:jc w:val="center"/>
                    <w:rPr>
                      <w:rFonts w:hint="default" w:eastAsia="宋体"/>
                      <w:color w:val="auto"/>
                      <w:szCs w:val="21"/>
                      <w:lang w:val="en-US" w:eastAsia="zh-CN"/>
                    </w:rPr>
                  </w:pPr>
                  <w:r>
                    <w:rPr>
                      <w:rFonts w:hint="eastAsia" w:eastAsia="宋体"/>
                      <w:color w:val="auto"/>
                      <w:szCs w:val="21"/>
                      <w:lang w:val="en-US" w:eastAsia="zh-CN"/>
                    </w:rPr>
                    <w:t>空压机</w:t>
                  </w:r>
                </w:p>
              </w:tc>
              <w:tc>
                <w:tcPr>
                  <w:tcW w:w="384" w:type="dxa"/>
                  <w:tcBorders>
                    <w:top w:val="single" w:color="auto" w:sz="8" w:space="0"/>
                  </w:tcBorders>
                  <w:noWrap w:val="0"/>
                  <w:vAlign w:val="center"/>
                </w:tcPr>
                <w:p w14:paraId="52BEFC5C">
                  <w:pPr>
                    <w:tabs>
                      <w:tab w:val="left" w:pos="3620"/>
                    </w:tabs>
                    <w:adjustRightInd w:val="0"/>
                    <w:snapToGrid w:val="0"/>
                    <w:jc w:val="center"/>
                    <w:rPr>
                      <w:bCs/>
                      <w:color w:val="auto"/>
                      <w:szCs w:val="21"/>
                    </w:rPr>
                  </w:pPr>
                  <w:r>
                    <w:rPr>
                      <w:color w:val="auto"/>
                      <w:szCs w:val="21"/>
                    </w:rPr>
                    <w:t>/</w:t>
                  </w:r>
                </w:p>
              </w:tc>
              <w:tc>
                <w:tcPr>
                  <w:tcW w:w="680" w:type="dxa"/>
                  <w:tcBorders>
                    <w:top w:val="single" w:color="auto" w:sz="8" w:space="0"/>
                  </w:tcBorders>
                  <w:noWrap w:val="0"/>
                  <w:vAlign w:val="center"/>
                </w:tcPr>
                <w:p w14:paraId="15286CFC">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75</w:t>
                  </w:r>
                </w:p>
              </w:tc>
              <w:tc>
                <w:tcPr>
                  <w:tcW w:w="403" w:type="dxa"/>
                  <w:vMerge w:val="restart"/>
                  <w:tcBorders>
                    <w:top w:val="single" w:color="auto" w:sz="8" w:space="0"/>
                  </w:tcBorders>
                  <w:noWrap w:val="0"/>
                  <w:vAlign w:val="center"/>
                </w:tcPr>
                <w:p w14:paraId="7EA39C7D">
                  <w:pPr>
                    <w:tabs>
                      <w:tab w:val="left" w:pos="3620"/>
                    </w:tabs>
                    <w:adjustRightInd w:val="0"/>
                    <w:snapToGrid w:val="0"/>
                    <w:jc w:val="center"/>
                    <w:rPr>
                      <w:bCs/>
                      <w:color w:val="auto"/>
                      <w:szCs w:val="21"/>
                    </w:rPr>
                  </w:pPr>
                  <w:r>
                    <w:rPr>
                      <w:rFonts w:hAnsi="宋体"/>
                      <w:bCs/>
                      <w:color w:val="auto"/>
                      <w:szCs w:val="21"/>
                    </w:rPr>
                    <w:t>基础减振、密闭隔音</w:t>
                  </w:r>
                </w:p>
              </w:tc>
              <w:tc>
                <w:tcPr>
                  <w:tcW w:w="525" w:type="dxa"/>
                  <w:tcBorders>
                    <w:top w:val="single" w:color="auto" w:sz="8" w:space="0"/>
                  </w:tcBorders>
                  <w:noWrap w:val="0"/>
                  <w:vAlign w:val="center"/>
                </w:tcPr>
                <w:p w14:paraId="18FB494D">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-4.4</w:t>
                  </w:r>
                </w:p>
              </w:tc>
              <w:tc>
                <w:tcPr>
                  <w:tcW w:w="660" w:type="dxa"/>
                  <w:tcBorders>
                    <w:top w:val="single" w:color="auto" w:sz="8" w:space="0"/>
                  </w:tcBorders>
                  <w:noWrap w:val="0"/>
                  <w:vAlign w:val="center"/>
                </w:tcPr>
                <w:p w14:paraId="66911C16">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-13.86</w:t>
                  </w:r>
                </w:p>
              </w:tc>
              <w:tc>
                <w:tcPr>
                  <w:tcW w:w="345" w:type="dxa"/>
                  <w:tcBorders>
                    <w:top w:val="single" w:color="auto" w:sz="8" w:space="0"/>
                  </w:tcBorders>
                  <w:noWrap w:val="0"/>
                  <w:vAlign w:val="center"/>
                </w:tcPr>
                <w:p w14:paraId="6FE0A696">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tcBorders>
                    <w:top w:val="single" w:color="auto" w:sz="8" w:space="0"/>
                  </w:tcBorders>
                  <w:noWrap w:val="0"/>
                  <w:vAlign w:val="center"/>
                </w:tcPr>
                <w:p w14:paraId="75FCD299">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20</w:t>
                  </w:r>
                </w:p>
              </w:tc>
              <w:tc>
                <w:tcPr>
                  <w:tcW w:w="585" w:type="dxa"/>
                  <w:tcBorders>
                    <w:top w:val="single" w:color="auto" w:sz="8" w:space="0"/>
                  </w:tcBorders>
                  <w:noWrap w:val="0"/>
                  <w:vAlign w:val="center"/>
                </w:tcPr>
                <w:p w14:paraId="523FD044">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54.99 </w:t>
                  </w:r>
                </w:p>
              </w:tc>
              <w:tc>
                <w:tcPr>
                  <w:tcW w:w="600" w:type="dxa"/>
                  <w:tcBorders>
                    <w:top w:val="single" w:color="auto" w:sz="8" w:space="0"/>
                  </w:tcBorders>
                  <w:noWrap w:val="0"/>
                  <w:vAlign w:val="center"/>
                </w:tcPr>
                <w:p w14:paraId="0E6D12DC">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tcBorders>
                    <w:top w:val="single" w:color="auto" w:sz="8" w:space="0"/>
                  </w:tcBorders>
                  <w:noWrap w:val="0"/>
                  <w:vAlign w:val="center"/>
                </w:tcPr>
                <w:p w14:paraId="4473AE4E">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25</w:t>
                  </w:r>
                </w:p>
              </w:tc>
              <w:tc>
                <w:tcPr>
                  <w:tcW w:w="621" w:type="dxa"/>
                  <w:tcBorders>
                    <w:top w:val="single" w:color="auto" w:sz="8" w:space="0"/>
                  </w:tcBorders>
                  <w:noWrap w:val="0"/>
                  <w:vAlign w:val="center"/>
                </w:tcPr>
                <w:p w14:paraId="199858F9">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29.99 </w:t>
                  </w:r>
                </w:p>
              </w:tc>
              <w:tc>
                <w:tcPr>
                  <w:tcW w:w="546" w:type="dxa"/>
                  <w:tcBorders>
                    <w:top w:val="single" w:color="auto" w:sz="8" w:space="0"/>
                  </w:tcBorders>
                  <w:noWrap w:val="0"/>
                  <w:vAlign w:val="center"/>
                </w:tcPr>
                <w:p w14:paraId="053A634D">
                  <w:pPr>
                    <w:tabs>
                      <w:tab w:val="left" w:pos="3620"/>
                    </w:tabs>
                    <w:adjustRightInd w:val="0"/>
                    <w:snapToGrid w:val="0"/>
                    <w:jc w:val="center"/>
                    <w:rPr>
                      <w:bCs/>
                      <w:color w:val="auto"/>
                      <w:szCs w:val="21"/>
                    </w:rPr>
                  </w:pPr>
                  <w:r>
                    <w:rPr>
                      <w:bCs/>
                      <w:color w:val="auto"/>
                      <w:szCs w:val="21"/>
                    </w:rPr>
                    <w:t>1</w:t>
                  </w:r>
                </w:p>
              </w:tc>
            </w:tr>
            <w:tr w14:paraId="4E80C5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57D12B5F">
                  <w:pPr>
                    <w:tabs>
                      <w:tab w:val="left" w:pos="3620"/>
                    </w:tabs>
                    <w:adjustRightInd w:val="0"/>
                    <w:snapToGrid w:val="0"/>
                    <w:jc w:val="center"/>
                    <w:rPr>
                      <w:bCs/>
                      <w:color w:val="auto"/>
                      <w:szCs w:val="21"/>
                    </w:rPr>
                  </w:pPr>
                  <w:r>
                    <w:rPr>
                      <w:bCs/>
                      <w:color w:val="auto"/>
                      <w:szCs w:val="21"/>
                    </w:rPr>
                    <w:t>2</w:t>
                  </w:r>
                </w:p>
              </w:tc>
              <w:tc>
                <w:tcPr>
                  <w:tcW w:w="337" w:type="dxa"/>
                  <w:vMerge w:val="continue"/>
                  <w:noWrap w:val="0"/>
                  <w:vAlign w:val="center"/>
                </w:tcPr>
                <w:p w14:paraId="50E0E9D3">
                  <w:pPr>
                    <w:tabs>
                      <w:tab w:val="left" w:pos="3620"/>
                    </w:tabs>
                    <w:adjustRightInd w:val="0"/>
                    <w:snapToGrid w:val="0"/>
                    <w:jc w:val="center"/>
                    <w:rPr>
                      <w:bCs/>
                      <w:color w:val="auto"/>
                      <w:szCs w:val="21"/>
                    </w:rPr>
                  </w:pPr>
                </w:p>
              </w:tc>
              <w:tc>
                <w:tcPr>
                  <w:tcW w:w="761" w:type="dxa"/>
                  <w:noWrap w:val="0"/>
                  <w:vAlign w:val="center"/>
                </w:tcPr>
                <w:p w14:paraId="463FF769">
                  <w:pPr>
                    <w:tabs>
                      <w:tab w:val="left" w:pos="3620"/>
                    </w:tabs>
                    <w:adjustRightInd w:val="0"/>
                    <w:snapToGrid w:val="0"/>
                    <w:jc w:val="center"/>
                    <w:rPr>
                      <w:rFonts w:hint="default" w:eastAsia="宋体"/>
                      <w:color w:val="auto"/>
                      <w:szCs w:val="21"/>
                      <w:lang w:val="en-US" w:eastAsia="zh-CN"/>
                    </w:rPr>
                  </w:pPr>
                  <w:r>
                    <w:rPr>
                      <w:rFonts w:hint="eastAsia" w:eastAsia="宋体"/>
                      <w:color w:val="auto"/>
                      <w:szCs w:val="21"/>
                      <w:lang w:val="en-US" w:eastAsia="zh-CN"/>
                    </w:rPr>
                    <w:t>自动点焊机1#</w:t>
                  </w:r>
                </w:p>
              </w:tc>
              <w:tc>
                <w:tcPr>
                  <w:tcW w:w="384" w:type="dxa"/>
                  <w:noWrap w:val="0"/>
                  <w:vAlign w:val="center"/>
                </w:tcPr>
                <w:p w14:paraId="73AB4116">
                  <w:pPr>
                    <w:tabs>
                      <w:tab w:val="left" w:pos="3620"/>
                    </w:tabs>
                    <w:adjustRightInd w:val="0"/>
                    <w:snapToGrid w:val="0"/>
                    <w:jc w:val="center"/>
                    <w:rPr>
                      <w:bCs/>
                      <w:color w:val="auto"/>
                      <w:szCs w:val="21"/>
                    </w:rPr>
                  </w:pPr>
                  <w:r>
                    <w:rPr>
                      <w:color w:val="auto"/>
                      <w:szCs w:val="21"/>
                    </w:rPr>
                    <w:t>/</w:t>
                  </w:r>
                </w:p>
              </w:tc>
              <w:tc>
                <w:tcPr>
                  <w:tcW w:w="680" w:type="dxa"/>
                  <w:noWrap w:val="0"/>
                  <w:vAlign w:val="center"/>
                </w:tcPr>
                <w:p w14:paraId="07F6FB22">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2F88C68B">
                  <w:pPr>
                    <w:tabs>
                      <w:tab w:val="left" w:pos="3620"/>
                    </w:tabs>
                    <w:adjustRightInd w:val="0"/>
                    <w:snapToGrid w:val="0"/>
                    <w:jc w:val="center"/>
                    <w:rPr>
                      <w:bCs/>
                      <w:color w:val="auto"/>
                      <w:szCs w:val="21"/>
                    </w:rPr>
                  </w:pPr>
                </w:p>
              </w:tc>
              <w:tc>
                <w:tcPr>
                  <w:tcW w:w="525" w:type="dxa"/>
                  <w:shd w:val="clear" w:color="auto" w:fill="auto"/>
                  <w:noWrap w:val="0"/>
                  <w:vAlign w:val="center"/>
                </w:tcPr>
                <w:p w14:paraId="64BEA3CD">
                  <w:pPr>
                    <w:tabs>
                      <w:tab w:val="left" w:pos="3620"/>
                    </w:tabs>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eastAsia" w:eastAsia="宋体"/>
                      <w:bCs/>
                      <w:color w:val="auto"/>
                      <w:szCs w:val="21"/>
                      <w:lang w:val="en-US" w:eastAsia="zh-CN"/>
                    </w:rPr>
                    <w:t>-0.99</w:t>
                  </w:r>
                </w:p>
              </w:tc>
              <w:tc>
                <w:tcPr>
                  <w:tcW w:w="660" w:type="dxa"/>
                  <w:shd w:val="clear" w:color="auto" w:fill="auto"/>
                  <w:noWrap w:val="0"/>
                  <w:vAlign w:val="center"/>
                </w:tcPr>
                <w:p w14:paraId="7B43C64C">
                  <w:pPr>
                    <w:tabs>
                      <w:tab w:val="left" w:pos="3620"/>
                    </w:tabs>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eastAsia" w:eastAsia="宋体"/>
                      <w:bCs/>
                      <w:color w:val="auto"/>
                      <w:szCs w:val="21"/>
                      <w:lang w:val="en-US" w:eastAsia="zh-CN"/>
                    </w:rPr>
                    <w:t>-7.1</w:t>
                  </w:r>
                </w:p>
              </w:tc>
              <w:tc>
                <w:tcPr>
                  <w:tcW w:w="345" w:type="dxa"/>
                  <w:noWrap w:val="0"/>
                  <w:vAlign w:val="center"/>
                </w:tcPr>
                <w:p w14:paraId="0131ACAE">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3D41FC2A">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13.5</w:t>
                  </w:r>
                </w:p>
              </w:tc>
              <w:tc>
                <w:tcPr>
                  <w:tcW w:w="585" w:type="dxa"/>
                  <w:noWrap w:val="0"/>
                  <w:vAlign w:val="center"/>
                </w:tcPr>
                <w:p w14:paraId="2551AA04">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50.38 </w:t>
                  </w:r>
                </w:p>
              </w:tc>
              <w:tc>
                <w:tcPr>
                  <w:tcW w:w="600" w:type="dxa"/>
                  <w:noWrap w:val="0"/>
                  <w:vAlign w:val="center"/>
                </w:tcPr>
                <w:p w14:paraId="633D9B38">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5633F7E2">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1298B592">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25.38 </w:t>
                  </w:r>
                </w:p>
              </w:tc>
              <w:tc>
                <w:tcPr>
                  <w:tcW w:w="546" w:type="dxa"/>
                  <w:noWrap w:val="0"/>
                  <w:vAlign w:val="center"/>
                </w:tcPr>
                <w:p w14:paraId="628132A2">
                  <w:pPr>
                    <w:tabs>
                      <w:tab w:val="left" w:pos="3620"/>
                    </w:tabs>
                    <w:adjustRightInd w:val="0"/>
                    <w:snapToGrid w:val="0"/>
                    <w:jc w:val="center"/>
                    <w:rPr>
                      <w:bCs/>
                      <w:color w:val="auto"/>
                      <w:szCs w:val="21"/>
                    </w:rPr>
                  </w:pPr>
                  <w:r>
                    <w:rPr>
                      <w:bCs/>
                      <w:color w:val="auto"/>
                      <w:szCs w:val="21"/>
                    </w:rPr>
                    <w:t>1</w:t>
                  </w:r>
                </w:p>
              </w:tc>
            </w:tr>
            <w:tr w14:paraId="0F4BCB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25C5EAFE">
                  <w:pPr>
                    <w:tabs>
                      <w:tab w:val="left" w:pos="3620"/>
                    </w:tabs>
                    <w:adjustRightInd w:val="0"/>
                    <w:snapToGrid w:val="0"/>
                    <w:jc w:val="center"/>
                    <w:rPr>
                      <w:bCs/>
                      <w:color w:val="auto"/>
                      <w:szCs w:val="21"/>
                    </w:rPr>
                  </w:pPr>
                  <w:r>
                    <w:rPr>
                      <w:bCs/>
                      <w:color w:val="auto"/>
                      <w:szCs w:val="21"/>
                    </w:rPr>
                    <w:t>3</w:t>
                  </w:r>
                </w:p>
              </w:tc>
              <w:tc>
                <w:tcPr>
                  <w:tcW w:w="337" w:type="dxa"/>
                  <w:vMerge w:val="continue"/>
                  <w:noWrap w:val="0"/>
                  <w:vAlign w:val="center"/>
                </w:tcPr>
                <w:p w14:paraId="29B38EA9">
                  <w:pPr>
                    <w:tabs>
                      <w:tab w:val="left" w:pos="3620"/>
                    </w:tabs>
                    <w:adjustRightInd w:val="0"/>
                    <w:snapToGrid w:val="0"/>
                    <w:jc w:val="center"/>
                    <w:rPr>
                      <w:bCs/>
                      <w:color w:val="auto"/>
                      <w:szCs w:val="21"/>
                    </w:rPr>
                  </w:pPr>
                </w:p>
              </w:tc>
              <w:tc>
                <w:tcPr>
                  <w:tcW w:w="761" w:type="dxa"/>
                  <w:noWrap w:val="0"/>
                  <w:vAlign w:val="center"/>
                </w:tcPr>
                <w:p w14:paraId="02E1F561">
                  <w:pPr>
                    <w:tabs>
                      <w:tab w:val="left" w:pos="3620"/>
                    </w:tabs>
                    <w:adjustRightInd w:val="0"/>
                    <w:snapToGrid w:val="0"/>
                    <w:jc w:val="center"/>
                    <w:rPr>
                      <w:rFonts w:hint="default" w:eastAsia="宋体"/>
                      <w:color w:val="auto"/>
                      <w:szCs w:val="21"/>
                      <w:lang w:val="en-US" w:eastAsia="zh-CN"/>
                    </w:rPr>
                  </w:pPr>
                  <w:r>
                    <w:rPr>
                      <w:rFonts w:hint="eastAsia" w:eastAsia="宋体"/>
                      <w:color w:val="auto"/>
                      <w:szCs w:val="21"/>
                      <w:lang w:val="en-US" w:eastAsia="zh-CN"/>
                    </w:rPr>
                    <w:t>自动点焊机2#</w:t>
                  </w:r>
                </w:p>
              </w:tc>
              <w:tc>
                <w:tcPr>
                  <w:tcW w:w="384" w:type="dxa"/>
                  <w:noWrap w:val="0"/>
                  <w:vAlign w:val="center"/>
                </w:tcPr>
                <w:p w14:paraId="571E0513">
                  <w:pPr>
                    <w:tabs>
                      <w:tab w:val="left" w:pos="3620"/>
                    </w:tabs>
                    <w:adjustRightInd w:val="0"/>
                    <w:snapToGrid w:val="0"/>
                    <w:jc w:val="center"/>
                    <w:rPr>
                      <w:color w:val="auto"/>
                      <w:szCs w:val="21"/>
                    </w:rPr>
                  </w:pPr>
                  <w:r>
                    <w:rPr>
                      <w:color w:val="auto"/>
                      <w:szCs w:val="21"/>
                    </w:rPr>
                    <w:t>/</w:t>
                  </w:r>
                </w:p>
              </w:tc>
              <w:tc>
                <w:tcPr>
                  <w:tcW w:w="680" w:type="dxa"/>
                  <w:noWrap w:val="0"/>
                  <w:vAlign w:val="center"/>
                </w:tcPr>
                <w:p w14:paraId="7447FF84">
                  <w:pPr>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750141C7">
                  <w:pPr>
                    <w:tabs>
                      <w:tab w:val="left" w:pos="3620"/>
                    </w:tabs>
                    <w:adjustRightInd w:val="0"/>
                    <w:snapToGrid w:val="0"/>
                    <w:jc w:val="center"/>
                    <w:rPr>
                      <w:bCs/>
                      <w:color w:val="auto"/>
                      <w:szCs w:val="21"/>
                    </w:rPr>
                  </w:pPr>
                </w:p>
              </w:tc>
              <w:tc>
                <w:tcPr>
                  <w:tcW w:w="525" w:type="dxa"/>
                  <w:shd w:val="clear" w:color="auto" w:fill="auto"/>
                  <w:noWrap w:val="0"/>
                  <w:vAlign w:val="center"/>
                </w:tcPr>
                <w:p w14:paraId="036DF1F7">
                  <w:pPr>
                    <w:tabs>
                      <w:tab w:val="left" w:pos="3620"/>
                    </w:tabs>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eastAsia" w:eastAsia="宋体"/>
                      <w:bCs/>
                      <w:color w:val="auto"/>
                      <w:szCs w:val="21"/>
                      <w:lang w:val="en-US" w:eastAsia="zh-CN"/>
                    </w:rPr>
                    <w:t>0.94</w:t>
                  </w:r>
                </w:p>
              </w:tc>
              <w:tc>
                <w:tcPr>
                  <w:tcW w:w="660" w:type="dxa"/>
                  <w:shd w:val="clear" w:color="auto" w:fill="auto"/>
                  <w:noWrap w:val="0"/>
                  <w:vAlign w:val="center"/>
                </w:tcPr>
                <w:p w14:paraId="07531429">
                  <w:pPr>
                    <w:tabs>
                      <w:tab w:val="left" w:pos="3620"/>
                    </w:tabs>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eastAsia" w:eastAsia="宋体"/>
                      <w:bCs/>
                      <w:color w:val="auto"/>
                      <w:szCs w:val="21"/>
                      <w:lang w:val="en-US" w:eastAsia="zh-CN"/>
                    </w:rPr>
                    <w:t>-8.07</w:t>
                  </w:r>
                </w:p>
              </w:tc>
              <w:tc>
                <w:tcPr>
                  <w:tcW w:w="345" w:type="dxa"/>
                  <w:noWrap w:val="0"/>
                  <w:vAlign w:val="center"/>
                </w:tcPr>
                <w:p w14:paraId="6381B0DA">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27E51F4E">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12.3</w:t>
                  </w:r>
                </w:p>
              </w:tc>
              <w:tc>
                <w:tcPr>
                  <w:tcW w:w="585" w:type="dxa"/>
                  <w:noWrap w:val="0"/>
                  <w:vAlign w:val="center"/>
                </w:tcPr>
                <w:p w14:paraId="58151683">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50.52 </w:t>
                  </w:r>
                </w:p>
              </w:tc>
              <w:tc>
                <w:tcPr>
                  <w:tcW w:w="600" w:type="dxa"/>
                  <w:noWrap w:val="0"/>
                  <w:vAlign w:val="center"/>
                </w:tcPr>
                <w:p w14:paraId="26318CCC">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681CF839">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6F46396F">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25.52 </w:t>
                  </w:r>
                </w:p>
              </w:tc>
              <w:tc>
                <w:tcPr>
                  <w:tcW w:w="546" w:type="dxa"/>
                  <w:noWrap w:val="0"/>
                  <w:vAlign w:val="center"/>
                </w:tcPr>
                <w:p w14:paraId="3FF21766">
                  <w:pPr>
                    <w:tabs>
                      <w:tab w:val="left" w:pos="3620"/>
                    </w:tabs>
                    <w:adjustRightInd w:val="0"/>
                    <w:snapToGrid w:val="0"/>
                    <w:jc w:val="center"/>
                    <w:rPr>
                      <w:bCs/>
                      <w:color w:val="auto"/>
                      <w:szCs w:val="21"/>
                    </w:rPr>
                  </w:pPr>
                  <w:r>
                    <w:rPr>
                      <w:bCs/>
                      <w:color w:val="auto"/>
                      <w:szCs w:val="21"/>
                    </w:rPr>
                    <w:t>1</w:t>
                  </w:r>
                </w:p>
              </w:tc>
            </w:tr>
            <w:tr w14:paraId="04F5B8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1D0725DA">
                  <w:pPr>
                    <w:tabs>
                      <w:tab w:val="left" w:pos="3620"/>
                    </w:tabs>
                    <w:adjustRightInd w:val="0"/>
                    <w:snapToGrid w:val="0"/>
                    <w:jc w:val="center"/>
                    <w:rPr>
                      <w:bCs/>
                      <w:color w:val="auto"/>
                      <w:szCs w:val="21"/>
                    </w:rPr>
                  </w:pPr>
                  <w:r>
                    <w:rPr>
                      <w:bCs/>
                      <w:color w:val="auto"/>
                      <w:szCs w:val="21"/>
                    </w:rPr>
                    <w:t>4</w:t>
                  </w:r>
                </w:p>
              </w:tc>
              <w:tc>
                <w:tcPr>
                  <w:tcW w:w="337" w:type="dxa"/>
                  <w:vMerge w:val="continue"/>
                  <w:noWrap w:val="0"/>
                  <w:vAlign w:val="center"/>
                </w:tcPr>
                <w:p w14:paraId="0582EBBD">
                  <w:pPr>
                    <w:tabs>
                      <w:tab w:val="left" w:pos="3620"/>
                    </w:tabs>
                    <w:adjustRightInd w:val="0"/>
                    <w:snapToGrid w:val="0"/>
                    <w:jc w:val="center"/>
                    <w:rPr>
                      <w:bCs/>
                      <w:color w:val="auto"/>
                      <w:szCs w:val="21"/>
                    </w:rPr>
                  </w:pPr>
                </w:p>
              </w:tc>
              <w:tc>
                <w:tcPr>
                  <w:tcW w:w="761" w:type="dxa"/>
                  <w:noWrap w:val="0"/>
                  <w:vAlign w:val="center"/>
                </w:tcPr>
                <w:p w14:paraId="70C94DA6">
                  <w:pPr>
                    <w:tabs>
                      <w:tab w:val="left" w:pos="3620"/>
                    </w:tabs>
                    <w:adjustRightInd w:val="0"/>
                    <w:snapToGrid w:val="0"/>
                    <w:jc w:val="center"/>
                    <w:rPr>
                      <w:rFonts w:hint="default" w:eastAsia="宋体"/>
                      <w:color w:val="auto"/>
                      <w:szCs w:val="21"/>
                      <w:lang w:val="en-US" w:eastAsia="zh-CN"/>
                    </w:rPr>
                  </w:pPr>
                  <w:r>
                    <w:rPr>
                      <w:rFonts w:hint="eastAsia" w:eastAsia="宋体"/>
                      <w:color w:val="auto"/>
                      <w:szCs w:val="21"/>
                      <w:lang w:val="en-US" w:eastAsia="zh-CN"/>
                    </w:rPr>
                    <w:t>自动点焊机3#</w:t>
                  </w:r>
                </w:p>
              </w:tc>
              <w:tc>
                <w:tcPr>
                  <w:tcW w:w="384" w:type="dxa"/>
                  <w:noWrap w:val="0"/>
                  <w:vAlign w:val="center"/>
                </w:tcPr>
                <w:p w14:paraId="115ADB88">
                  <w:pPr>
                    <w:tabs>
                      <w:tab w:val="left" w:pos="3620"/>
                    </w:tabs>
                    <w:adjustRightInd w:val="0"/>
                    <w:snapToGrid w:val="0"/>
                    <w:jc w:val="center"/>
                    <w:rPr>
                      <w:color w:val="auto"/>
                      <w:szCs w:val="21"/>
                    </w:rPr>
                  </w:pPr>
                  <w:r>
                    <w:rPr>
                      <w:color w:val="auto"/>
                      <w:szCs w:val="21"/>
                    </w:rPr>
                    <w:t>/</w:t>
                  </w:r>
                </w:p>
              </w:tc>
              <w:tc>
                <w:tcPr>
                  <w:tcW w:w="680" w:type="dxa"/>
                  <w:noWrap w:val="0"/>
                  <w:vAlign w:val="center"/>
                </w:tcPr>
                <w:p w14:paraId="01AD6733">
                  <w:pPr>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161971F2">
                  <w:pPr>
                    <w:tabs>
                      <w:tab w:val="left" w:pos="3620"/>
                    </w:tabs>
                    <w:adjustRightInd w:val="0"/>
                    <w:snapToGrid w:val="0"/>
                    <w:jc w:val="center"/>
                    <w:rPr>
                      <w:bCs/>
                      <w:color w:val="auto"/>
                      <w:szCs w:val="21"/>
                    </w:rPr>
                  </w:pPr>
                </w:p>
              </w:tc>
              <w:tc>
                <w:tcPr>
                  <w:tcW w:w="525" w:type="dxa"/>
                  <w:shd w:val="clear" w:color="auto" w:fill="auto"/>
                  <w:noWrap w:val="0"/>
                  <w:vAlign w:val="center"/>
                </w:tcPr>
                <w:p w14:paraId="02B12EE9">
                  <w:pPr>
                    <w:tabs>
                      <w:tab w:val="left" w:pos="3620"/>
                    </w:tabs>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eastAsia" w:eastAsia="宋体"/>
                      <w:bCs/>
                      <w:color w:val="auto"/>
                      <w:szCs w:val="21"/>
                      <w:lang w:val="en-US" w:eastAsia="zh-CN"/>
                    </w:rPr>
                    <w:t>2.87</w:t>
                  </w:r>
                </w:p>
              </w:tc>
              <w:tc>
                <w:tcPr>
                  <w:tcW w:w="660" w:type="dxa"/>
                  <w:shd w:val="clear" w:color="auto" w:fill="auto"/>
                  <w:noWrap w:val="0"/>
                  <w:vAlign w:val="center"/>
                </w:tcPr>
                <w:p w14:paraId="1A46FAA8">
                  <w:pPr>
                    <w:tabs>
                      <w:tab w:val="left" w:pos="3620"/>
                    </w:tabs>
                    <w:adjustRightInd w:val="0"/>
                    <w:snapToGrid w:val="0"/>
                    <w:jc w:val="center"/>
                    <w:rPr>
                      <w:rFonts w:hint="default" w:ascii="Times New Roman" w:hAnsi="Times New Roman" w:eastAsia="宋体" w:cs="Times New Roman"/>
                      <w:bCs/>
                      <w:color w:val="auto"/>
                      <w:kern w:val="2"/>
                      <w:sz w:val="21"/>
                      <w:szCs w:val="21"/>
                      <w:lang w:val="en-US" w:eastAsia="zh-CN" w:bidi="ar-SA"/>
                    </w:rPr>
                  </w:pPr>
                  <w:r>
                    <w:rPr>
                      <w:rFonts w:hint="eastAsia" w:eastAsia="宋体"/>
                      <w:bCs/>
                      <w:color w:val="auto"/>
                      <w:szCs w:val="21"/>
                      <w:lang w:val="en-US" w:eastAsia="zh-CN"/>
                    </w:rPr>
                    <w:t>-8.56</w:t>
                  </w:r>
                </w:p>
              </w:tc>
              <w:tc>
                <w:tcPr>
                  <w:tcW w:w="345" w:type="dxa"/>
                  <w:noWrap w:val="0"/>
                  <w:vAlign w:val="center"/>
                </w:tcPr>
                <w:p w14:paraId="0D762A2B">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5373932E">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11.1</w:t>
                  </w:r>
                </w:p>
              </w:tc>
              <w:tc>
                <w:tcPr>
                  <w:tcW w:w="585" w:type="dxa"/>
                  <w:noWrap w:val="0"/>
                  <w:vAlign w:val="center"/>
                </w:tcPr>
                <w:p w14:paraId="441843D3">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50.70 </w:t>
                  </w:r>
                </w:p>
              </w:tc>
              <w:tc>
                <w:tcPr>
                  <w:tcW w:w="600" w:type="dxa"/>
                  <w:noWrap w:val="0"/>
                  <w:vAlign w:val="center"/>
                </w:tcPr>
                <w:p w14:paraId="4A57ABE1">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546CA201">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0297E098">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25.70 </w:t>
                  </w:r>
                </w:p>
              </w:tc>
              <w:tc>
                <w:tcPr>
                  <w:tcW w:w="546" w:type="dxa"/>
                  <w:noWrap w:val="0"/>
                  <w:vAlign w:val="center"/>
                </w:tcPr>
                <w:p w14:paraId="3689DF0E">
                  <w:pPr>
                    <w:tabs>
                      <w:tab w:val="left" w:pos="3620"/>
                    </w:tabs>
                    <w:adjustRightInd w:val="0"/>
                    <w:snapToGrid w:val="0"/>
                    <w:jc w:val="center"/>
                    <w:rPr>
                      <w:bCs/>
                      <w:color w:val="auto"/>
                      <w:szCs w:val="21"/>
                    </w:rPr>
                  </w:pPr>
                  <w:r>
                    <w:rPr>
                      <w:bCs/>
                      <w:color w:val="auto"/>
                      <w:szCs w:val="21"/>
                    </w:rPr>
                    <w:t>1</w:t>
                  </w:r>
                </w:p>
              </w:tc>
            </w:tr>
            <w:tr w14:paraId="1D8520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04BC94A9">
                  <w:pPr>
                    <w:tabs>
                      <w:tab w:val="left" w:pos="3620"/>
                    </w:tabs>
                    <w:adjustRightInd w:val="0"/>
                    <w:snapToGrid w:val="0"/>
                    <w:jc w:val="center"/>
                    <w:rPr>
                      <w:bCs/>
                      <w:color w:val="auto"/>
                      <w:szCs w:val="21"/>
                    </w:rPr>
                  </w:pPr>
                  <w:r>
                    <w:rPr>
                      <w:bCs/>
                      <w:color w:val="auto"/>
                      <w:szCs w:val="21"/>
                    </w:rPr>
                    <w:t>5</w:t>
                  </w:r>
                </w:p>
              </w:tc>
              <w:tc>
                <w:tcPr>
                  <w:tcW w:w="337" w:type="dxa"/>
                  <w:vMerge w:val="restart"/>
                  <w:noWrap w:val="0"/>
                  <w:vAlign w:val="center"/>
                </w:tcPr>
                <w:p w14:paraId="240F2F2D">
                  <w:pPr>
                    <w:tabs>
                      <w:tab w:val="left" w:pos="3620"/>
                    </w:tabs>
                    <w:adjustRightInd w:val="0"/>
                    <w:snapToGrid w:val="0"/>
                    <w:jc w:val="center"/>
                    <w:rPr>
                      <w:bCs/>
                      <w:color w:val="auto"/>
                      <w:szCs w:val="21"/>
                    </w:rPr>
                  </w:pPr>
                  <w:r>
                    <w:rPr>
                      <w:rFonts w:hint="eastAsia" w:hAnsi="宋体"/>
                      <w:bCs/>
                      <w:color w:val="auto"/>
                      <w:szCs w:val="21"/>
                      <w:lang w:val="en-US" w:eastAsia="zh-CN"/>
                    </w:rPr>
                    <w:t>2#</w:t>
                  </w:r>
                  <w:r>
                    <w:rPr>
                      <w:rFonts w:hAnsi="宋体"/>
                      <w:bCs/>
                      <w:color w:val="auto"/>
                      <w:szCs w:val="21"/>
                    </w:rPr>
                    <w:t>生产车间</w:t>
                  </w:r>
                </w:p>
              </w:tc>
              <w:tc>
                <w:tcPr>
                  <w:tcW w:w="761" w:type="dxa"/>
                  <w:noWrap w:val="0"/>
                  <w:vAlign w:val="center"/>
                </w:tcPr>
                <w:p w14:paraId="5B8E08BE">
                  <w:pPr>
                    <w:tabs>
                      <w:tab w:val="left" w:pos="3620"/>
                    </w:tabs>
                    <w:adjustRightInd w:val="0"/>
                    <w:snapToGrid w:val="0"/>
                    <w:jc w:val="center"/>
                    <w:rPr>
                      <w:rFonts w:hint="default" w:eastAsia="宋体"/>
                      <w:color w:val="auto"/>
                      <w:szCs w:val="21"/>
                      <w:lang w:val="en-US" w:eastAsia="zh-CN"/>
                    </w:rPr>
                  </w:pPr>
                  <w:r>
                    <w:rPr>
                      <w:rFonts w:hint="eastAsia" w:eastAsia="宋体"/>
                      <w:color w:val="auto"/>
                      <w:szCs w:val="21"/>
                      <w:lang w:val="en-US" w:eastAsia="zh-CN"/>
                    </w:rPr>
                    <w:t>自动装配线1#</w:t>
                  </w:r>
                </w:p>
              </w:tc>
              <w:tc>
                <w:tcPr>
                  <w:tcW w:w="384" w:type="dxa"/>
                  <w:noWrap w:val="0"/>
                  <w:vAlign w:val="center"/>
                </w:tcPr>
                <w:p w14:paraId="316FD79C">
                  <w:pPr>
                    <w:tabs>
                      <w:tab w:val="left" w:pos="3620"/>
                    </w:tabs>
                    <w:adjustRightInd w:val="0"/>
                    <w:snapToGrid w:val="0"/>
                    <w:jc w:val="center"/>
                    <w:rPr>
                      <w:bCs/>
                      <w:color w:val="auto"/>
                      <w:szCs w:val="21"/>
                    </w:rPr>
                  </w:pPr>
                  <w:r>
                    <w:rPr>
                      <w:bCs/>
                      <w:color w:val="auto"/>
                      <w:szCs w:val="21"/>
                    </w:rPr>
                    <w:t>/</w:t>
                  </w:r>
                </w:p>
              </w:tc>
              <w:tc>
                <w:tcPr>
                  <w:tcW w:w="680" w:type="dxa"/>
                  <w:noWrap w:val="0"/>
                  <w:vAlign w:val="center"/>
                </w:tcPr>
                <w:p w14:paraId="5E68BAA2">
                  <w:pPr>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15B8551E">
                  <w:pPr>
                    <w:tabs>
                      <w:tab w:val="left" w:pos="3620"/>
                    </w:tabs>
                    <w:adjustRightInd w:val="0"/>
                    <w:snapToGrid w:val="0"/>
                    <w:jc w:val="center"/>
                    <w:rPr>
                      <w:bCs/>
                      <w:color w:val="auto"/>
                      <w:szCs w:val="21"/>
                    </w:rPr>
                  </w:pPr>
                </w:p>
              </w:tc>
              <w:tc>
                <w:tcPr>
                  <w:tcW w:w="525" w:type="dxa"/>
                  <w:noWrap w:val="0"/>
                  <w:vAlign w:val="center"/>
                </w:tcPr>
                <w:p w14:paraId="410DB55E">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-2.25</w:t>
                  </w:r>
                </w:p>
              </w:tc>
              <w:tc>
                <w:tcPr>
                  <w:tcW w:w="660" w:type="dxa"/>
                  <w:noWrap w:val="0"/>
                  <w:vAlign w:val="center"/>
                </w:tcPr>
                <w:p w14:paraId="0C786DB9">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-10.98</w:t>
                  </w:r>
                </w:p>
              </w:tc>
              <w:tc>
                <w:tcPr>
                  <w:tcW w:w="345" w:type="dxa"/>
                  <w:noWrap w:val="0"/>
                  <w:vAlign w:val="center"/>
                </w:tcPr>
                <w:p w14:paraId="6EDB3257">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06AAA5B3">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16.6</w:t>
                  </w:r>
                </w:p>
              </w:tc>
              <w:tc>
                <w:tcPr>
                  <w:tcW w:w="585" w:type="dxa"/>
                  <w:noWrap w:val="0"/>
                  <w:vAlign w:val="center"/>
                </w:tcPr>
                <w:p w14:paraId="3FF1E464">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47.44 </w:t>
                  </w:r>
                </w:p>
              </w:tc>
              <w:tc>
                <w:tcPr>
                  <w:tcW w:w="600" w:type="dxa"/>
                  <w:noWrap w:val="0"/>
                  <w:vAlign w:val="center"/>
                </w:tcPr>
                <w:p w14:paraId="64CD817E">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6150A392">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492445B0">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22.44 </w:t>
                  </w:r>
                </w:p>
              </w:tc>
              <w:tc>
                <w:tcPr>
                  <w:tcW w:w="546" w:type="dxa"/>
                  <w:noWrap w:val="0"/>
                  <w:vAlign w:val="center"/>
                </w:tcPr>
                <w:p w14:paraId="26B11BB2">
                  <w:pPr>
                    <w:tabs>
                      <w:tab w:val="left" w:pos="3620"/>
                    </w:tabs>
                    <w:adjustRightInd w:val="0"/>
                    <w:snapToGrid w:val="0"/>
                    <w:jc w:val="center"/>
                    <w:rPr>
                      <w:bCs/>
                      <w:color w:val="auto"/>
                      <w:szCs w:val="21"/>
                    </w:rPr>
                  </w:pPr>
                  <w:r>
                    <w:rPr>
                      <w:bCs/>
                      <w:color w:val="auto"/>
                      <w:szCs w:val="21"/>
                    </w:rPr>
                    <w:t>1</w:t>
                  </w:r>
                </w:p>
              </w:tc>
            </w:tr>
            <w:tr w14:paraId="3FAD98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10F042FE">
                  <w:pPr>
                    <w:tabs>
                      <w:tab w:val="left" w:pos="3620"/>
                    </w:tabs>
                    <w:adjustRightInd w:val="0"/>
                    <w:snapToGrid w:val="0"/>
                    <w:jc w:val="center"/>
                    <w:rPr>
                      <w:bCs/>
                      <w:color w:val="auto"/>
                      <w:szCs w:val="21"/>
                    </w:rPr>
                  </w:pPr>
                  <w:r>
                    <w:rPr>
                      <w:bCs/>
                      <w:color w:val="auto"/>
                      <w:szCs w:val="21"/>
                    </w:rPr>
                    <w:t>6</w:t>
                  </w:r>
                </w:p>
              </w:tc>
              <w:tc>
                <w:tcPr>
                  <w:tcW w:w="337" w:type="dxa"/>
                  <w:vMerge w:val="continue"/>
                  <w:noWrap w:val="0"/>
                  <w:vAlign w:val="center"/>
                </w:tcPr>
                <w:p w14:paraId="233F584C">
                  <w:pPr>
                    <w:tabs>
                      <w:tab w:val="left" w:pos="3620"/>
                    </w:tabs>
                    <w:adjustRightInd w:val="0"/>
                    <w:snapToGrid w:val="0"/>
                    <w:jc w:val="center"/>
                    <w:rPr>
                      <w:bCs/>
                      <w:color w:val="auto"/>
                      <w:szCs w:val="21"/>
                    </w:rPr>
                  </w:pPr>
                </w:p>
              </w:tc>
              <w:tc>
                <w:tcPr>
                  <w:tcW w:w="761" w:type="dxa"/>
                  <w:noWrap w:val="0"/>
                  <w:vAlign w:val="center"/>
                </w:tcPr>
                <w:p w14:paraId="76FE0144">
                  <w:pPr>
                    <w:tabs>
                      <w:tab w:val="left" w:pos="3620"/>
                    </w:tabs>
                    <w:adjustRightInd w:val="0"/>
                    <w:snapToGrid w:val="0"/>
                    <w:jc w:val="center"/>
                    <w:rPr>
                      <w:rFonts w:hint="default" w:eastAsia="宋体"/>
                      <w:color w:val="auto"/>
                      <w:szCs w:val="21"/>
                      <w:lang w:val="en-US" w:eastAsia="zh-CN"/>
                    </w:rPr>
                  </w:pPr>
                  <w:r>
                    <w:rPr>
                      <w:rFonts w:hint="eastAsia" w:eastAsia="宋体"/>
                      <w:color w:val="auto"/>
                      <w:szCs w:val="21"/>
                      <w:lang w:val="en-US" w:eastAsia="zh-CN"/>
                    </w:rPr>
                    <w:t>自动装配线2#</w:t>
                  </w:r>
                </w:p>
              </w:tc>
              <w:tc>
                <w:tcPr>
                  <w:tcW w:w="384" w:type="dxa"/>
                  <w:noWrap w:val="0"/>
                  <w:vAlign w:val="center"/>
                </w:tcPr>
                <w:p w14:paraId="4970E490">
                  <w:pPr>
                    <w:tabs>
                      <w:tab w:val="left" w:pos="3620"/>
                    </w:tabs>
                    <w:adjustRightInd w:val="0"/>
                    <w:snapToGrid w:val="0"/>
                    <w:jc w:val="center"/>
                    <w:rPr>
                      <w:bCs/>
                      <w:color w:val="auto"/>
                      <w:szCs w:val="21"/>
                    </w:rPr>
                  </w:pPr>
                  <w:r>
                    <w:rPr>
                      <w:bCs/>
                      <w:color w:val="auto"/>
                      <w:szCs w:val="21"/>
                    </w:rPr>
                    <w:t>/</w:t>
                  </w:r>
                </w:p>
              </w:tc>
              <w:tc>
                <w:tcPr>
                  <w:tcW w:w="680" w:type="dxa"/>
                  <w:noWrap w:val="0"/>
                  <w:vAlign w:val="center"/>
                </w:tcPr>
                <w:p w14:paraId="434595C2">
                  <w:pPr>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0ABA2ED0">
                  <w:pPr>
                    <w:tabs>
                      <w:tab w:val="left" w:pos="3620"/>
                    </w:tabs>
                    <w:adjustRightInd w:val="0"/>
                    <w:snapToGrid w:val="0"/>
                    <w:jc w:val="center"/>
                    <w:rPr>
                      <w:bCs/>
                      <w:color w:val="auto"/>
                      <w:szCs w:val="21"/>
                    </w:rPr>
                  </w:pPr>
                </w:p>
              </w:tc>
              <w:tc>
                <w:tcPr>
                  <w:tcW w:w="525" w:type="dxa"/>
                  <w:noWrap w:val="0"/>
                  <w:vAlign w:val="center"/>
                </w:tcPr>
                <w:p w14:paraId="13F02578">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-0.74</w:t>
                  </w:r>
                </w:p>
              </w:tc>
              <w:tc>
                <w:tcPr>
                  <w:tcW w:w="660" w:type="dxa"/>
                  <w:noWrap w:val="0"/>
                  <w:vAlign w:val="center"/>
                </w:tcPr>
                <w:p w14:paraId="1AEF33C3">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-11.54</w:t>
                  </w:r>
                </w:p>
              </w:tc>
              <w:tc>
                <w:tcPr>
                  <w:tcW w:w="345" w:type="dxa"/>
                  <w:noWrap w:val="0"/>
                  <w:vAlign w:val="center"/>
                </w:tcPr>
                <w:p w14:paraId="2DD5E2A6">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0AE116ED">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15.7</w:t>
                  </w:r>
                </w:p>
              </w:tc>
              <w:tc>
                <w:tcPr>
                  <w:tcW w:w="585" w:type="dxa"/>
                  <w:noWrap w:val="0"/>
                  <w:vAlign w:val="center"/>
                </w:tcPr>
                <w:p w14:paraId="3BBF0C0E">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47.54 </w:t>
                  </w:r>
                </w:p>
              </w:tc>
              <w:tc>
                <w:tcPr>
                  <w:tcW w:w="600" w:type="dxa"/>
                  <w:noWrap w:val="0"/>
                  <w:vAlign w:val="center"/>
                </w:tcPr>
                <w:p w14:paraId="4DADDF78">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585CF712">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0CB6E102">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22.54 </w:t>
                  </w:r>
                </w:p>
              </w:tc>
              <w:tc>
                <w:tcPr>
                  <w:tcW w:w="546" w:type="dxa"/>
                  <w:noWrap w:val="0"/>
                  <w:vAlign w:val="center"/>
                </w:tcPr>
                <w:p w14:paraId="3B831482">
                  <w:pPr>
                    <w:tabs>
                      <w:tab w:val="left" w:pos="3620"/>
                    </w:tabs>
                    <w:adjustRightInd w:val="0"/>
                    <w:snapToGrid w:val="0"/>
                    <w:jc w:val="center"/>
                    <w:rPr>
                      <w:bCs/>
                      <w:color w:val="auto"/>
                      <w:szCs w:val="21"/>
                    </w:rPr>
                  </w:pPr>
                  <w:r>
                    <w:rPr>
                      <w:bCs/>
                      <w:color w:val="auto"/>
                      <w:szCs w:val="21"/>
                    </w:rPr>
                    <w:t>1</w:t>
                  </w:r>
                </w:p>
              </w:tc>
            </w:tr>
            <w:tr w14:paraId="2AAB60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1BB8EBC4">
                  <w:pPr>
                    <w:tabs>
                      <w:tab w:val="left" w:pos="3620"/>
                    </w:tabs>
                    <w:adjustRightInd w:val="0"/>
                    <w:snapToGrid w:val="0"/>
                    <w:jc w:val="center"/>
                    <w:rPr>
                      <w:bCs/>
                      <w:color w:val="auto"/>
                      <w:szCs w:val="21"/>
                    </w:rPr>
                  </w:pPr>
                  <w:r>
                    <w:rPr>
                      <w:bCs/>
                      <w:color w:val="auto"/>
                      <w:szCs w:val="21"/>
                    </w:rPr>
                    <w:t>7</w:t>
                  </w:r>
                </w:p>
              </w:tc>
              <w:tc>
                <w:tcPr>
                  <w:tcW w:w="337" w:type="dxa"/>
                  <w:vMerge w:val="continue"/>
                  <w:noWrap w:val="0"/>
                  <w:vAlign w:val="center"/>
                </w:tcPr>
                <w:p w14:paraId="13EC691D">
                  <w:pPr>
                    <w:tabs>
                      <w:tab w:val="left" w:pos="3620"/>
                    </w:tabs>
                    <w:adjustRightInd w:val="0"/>
                    <w:snapToGrid w:val="0"/>
                    <w:jc w:val="center"/>
                    <w:rPr>
                      <w:bCs/>
                      <w:color w:val="auto"/>
                      <w:szCs w:val="21"/>
                    </w:rPr>
                  </w:pPr>
                </w:p>
              </w:tc>
              <w:tc>
                <w:tcPr>
                  <w:tcW w:w="761" w:type="dxa"/>
                  <w:noWrap w:val="0"/>
                  <w:vAlign w:val="center"/>
                </w:tcPr>
                <w:p w14:paraId="75F6BCAB">
                  <w:pPr>
                    <w:adjustRightInd w:val="0"/>
                    <w:snapToGrid w:val="0"/>
                    <w:jc w:val="center"/>
                    <w:rPr>
                      <w:rFonts w:hint="eastAsia" w:eastAsia="宋体"/>
                      <w:color w:val="auto"/>
                      <w:szCs w:val="21"/>
                      <w:lang w:val="en-US" w:eastAsia="zh-CN"/>
                    </w:rPr>
                  </w:pPr>
                  <w:r>
                    <w:rPr>
                      <w:rFonts w:hint="eastAsia" w:eastAsia="宋体"/>
                      <w:color w:val="auto"/>
                      <w:szCs w:val="21"/>
                      <w:lang w:val="en-US" w:eastAsia="zh-CN"/>
                    </w:rPr>
                    <w:t>自动装配线3#</w:t>
                  </w:r>
                </w:p>
              </w:tc>
              <w:tc>
                <w:tcPr>
                  <w:tcW w:w="384" w:type="dxa"/>
                  <w:noWrap w:val="0"/>
                  <w:vAlign w:val="center"/>
                </w:tcPr>
                <w:p w14:paraId="25FEA903">
                  <w:pPr>
                    <w:tabs>
                      <w:tab w:val="left" w:pos="3620"/>
                    </w:tabs>
                    <w:adjustRightInd w:val="0"/>
                    <w:snapToGrid w:val="0"/>
                    <w:jc w:val="center"/>
                    <w:rPr>
                      <w:bCs/>
                      <w:color w:val="auto"/>
                      <w:szCs w:val="21"/>
                    </w:rPr>
                  </w:pPr>
                  <w:r>
                    <w:rPr>
                      <w:bCs/>
                      <w:color w:val="auto"/>
                      <w:szCs w:val="21"/>
                    </w:rPr>
                    <w:t>/</w:t>
                  </w:r>
                </w:p>
              </w:tc>
              <w:tc>
                <w:tcPr>
                  <w:tcW w:w="680" w:type="dxa"/>
                  <w:noWrap w:val="0"/>
                  <w:vAlign w:val="center"/>
                </w:tcPr>
                <w:p w14:paraId="7DEDFDBC">
                  <w:pPr>
                    <w:adjustRightInd w:val="0"/>
                    <w:snapToGrid w:val="0"/>
                    <w:jc w:val="center"/>
                    <w:rPr>
                      <w:rFonts w:hint="default" w:eastAsia="宋体"/>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214D8B81">
                  <w:pPr>
                    <w:tabs>
                      <w:tab w:val="left" w:pos="3620"/>
                    </w:tabs>
                    <w:adjustRightInd w:val="0"/>
                    <w:snapToGrid w:val="0"/>
                    <w:jc w:val="center"/>
                    <w:rPr>
                      <w:bCs/>
                      <w:color w:val="auto"/>
                      <w:szCs w:val="21"/>
                    </w:rPr>
                  </w:pPr>
                </w:p>
              </w:tc>
              <w:tc>
                <w:tcPr>
                  <w:tcW w:w="525" w:type="dxa"/>
                  <w:noWrap w:val="0"/>
                  <w:vAlign w:val="center"/>
                </w:tcPr>
                <w:p w14:paraId="07A9784B">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0.49</w:t>
                  </w:r>
                </w:p>
              </w:tc>
              <w:tc>
                <w:tcPr>
                  <w:tcW w:w="660" w:type="dxa"/>
                  <w:noWrap w:val="0"/>
                  <w:vAlign w:val="center"/>
                </w:tcPr>
                <w:p w14:paraId="1185A9C9">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-11.99</w:t>
                  </w:r>
                </w:p>
              </w:tc>
              <w:tc>
                <w:tcPr>
                  <w:tcW w:w="345" w:type="dxa"/>
                  <w:noWrap w:val="0"/>
                  <w:vAlign w:val="center"/>
                </w:tcPr>
                <w:p w14:paraId="442C81A5">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2568AB01">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15.1</w:t>
                  </w:r>
                </w:p>
              </w:tc>
              <w:tc>
                <w:tcPr>
                  <w:tcW w:w="585" w:type="dxa"/>
                  <w:noWrap w:val="0"/>
                  <w:vAlign w:val="center"/>
                </w:tcPr>
                <w:p w14:paraId="7A8B3434">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47.62 </w:t>
                  </w:r>
                </w:p>
              </w:tc>
              <w:tc>
                <w:tcPr>
                  <w:tcW w:w="600" w:type="dxa"/>
                  <w:noWrap w:val="0"/>
                  <w:vAlign w:val="center"/>
                </w:tcPr>
                <w:p w14:paraId="3ACD354B">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54D1AA4F">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4BB324EE">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22.62 </w:t>
                  </w:r>
                </w:p>
              </w:tc>
              <w:tc>
                <w:tcPr>
                  <w:tcW w:w="546" w:type="dxa"/>
                  <w:noWrap w:val="0"/>
                  <w:vAlign w:val="center"/>
                </w:tcPr>
                <w:p w14:paraId="573685D9">
                  <w:pPr>
                    <w:tabs>
                      <w:tab w:val="left" w:pos="3620"/>
                    </w:tabs>
                    <w:adjustRightInd w:val="0"/>
                    <w:snapToGrid w:val="0"/>
                    <w:jc w:val="center"/>
                    <w:rPr>
                      <w:bCs/>
                      <w:color w:val="auto"/>
                      <w:szCs w:val="21"/>
                    </w:rPr>
                  </w:pPr>
                  <w:r>
                    <w:rPr>
                      <w:bCs/>
                      <w:color w:val="auto"/>
                      <w:szCs w:val="21"/>
                    </w:rPr>
                    <w:t>1</w:t>
                  </w:r>
                </w:p>
              </w:tc>
            </w:tr>
            <w:tr w14:paraId="326E95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02FBF842">
                  <w:pPr>
                    <w:tabs>
                      <w:tab w:val="left" w:pos="3620"/>
                    </w:tabs>
                    <w:adjustRightInd w:val="0"/>
                    <w:snapToGrid w:val="0"/>
                    <w:jc w:val="center"/>
                    <w:rPr>
                      <w:bCs/>
                      <w:color w:val="auto"/>
                      <w:szCs w:val="21"/>
                    </w:rPr>
                  </w:pPr>
                  <w:r>
                    <w:rPr>
                      <w:bCs/>
                      <w:color w:val="auto"/>
                      <w:szCs w:val="21"/>
                    </w:rPr>
                    <w:t>8</w:t>
                  </w:r>
                </w:p>
              </w:tc>
              <w:tc>
                <w:tcPr>
                  <w:tcW w:w="337" w:type="dxa"/>
                  <w:vMerge w:val="continue"/>
                  <w:noWrap w:val="0"/>
                  <w:vAlign w:val="center"/>
                </w:tcPr>
                <w:p w14:paraId="33A22349">
                  <w:pPr>
                    <w:tabs>
                      <w:tab w:val="left" w:pos="3620"/>
                    </w:tabs>
                    <w:adjustRightInd w:val="0"/>
                    <w:snapToGrid w:val="0"/>
                    <w:jc w:val="center"/>
                    <w:rPr>
                      <w:bCs/>
                      <w:color w:val="auto"/>
                      <w:szCs w:val="21"/>
                    </w:rPr>
                  </w:pPr>
                </w:p>
              </w:tc>
              <w:tc>
                <w:tcPr>
                  <w:tcW w:w="761" w:type="dxa"/>
                  <w:noWrap w:val="0"/>
                  <w:vAlign w:val="center"/>
                </w:tcPr>
                <w:p w14:paraId="48413996">
                  <w:pPr>
                    <w:adjustRightInd w:val="0"/>
                    <w:snapToGrid w:val="0"/>
                    <w:jc w:val="center"/>
                    <w:rPr>
                      <w:rFonts w:hint="default" w:eastAsia="宋体"/>
                      <w:color w:val="auto"/>
                      <w:szCs w:val="21"/>
                      <w:lang w:val="en-US" w:eastAsia="zh-CN"/>
                    </w:rPr>
                  </w:pPr>
                  <w:r>
                    <w:rPr>
                      <w:rFonts w:hint="eastAsia" w:eastAsia="宋体"/>
                      <w:color w:val="auto"/>
                      <w:szCs w:val="21"/>
                      <w:lang w:val="en-US" w:eastAsia="zh-CN"/>
                    </w:rPr>
                    <w:t>自动装配线4#</w:t>
                  </w:r>
                </w:p>
              </w:tc>
              <w:tc>
                <w:tcPr>
                  <w:tcW w:w="384" w:type="dxa"/>
                  <w:noWrap w:val="0"/>
                  <w:vAlign w:val="center"/>
                </w:tcPr>
                <w:p w14:paraId="16760F59">
                  <w:pPr>
                    <w:tabs>
                      <w:tab w:val="left" w:pos="3620"/>
                    </w:tabs>
                    <w:adjustRightInd w:val="0"/>
                    <w:snapToGrid w:val="0"/>
                    <w:jc w:val="center"/>
                    <w:rPr>
                      <w:bCs/>
                      <w:color w:val="auto"/>
                      <w:szCs w:val="21"/>
                    </w:rPr>
                  </w:pPr>
                  <w:r>
                    <w:rPr>
                      <w:bCs/>
                      <w:color w:val="auto"/>
                      <w:szCs w:val="21"/>
                    </w:rPr>
                    <w:t>/</w:t>
                  </w:r>
                </w:p>
              </w:tc>
              <w:tc>
                <w:tcPr>
                  <w:tcW w:w="680" w:type="dxa"/>
                  <w:noWrap w:val="0"/>
                  <w:vAlign w:val="center"/>
                </w:tcPr>
                <w:p w14:paraId="4E6CA97B">
                  <w:pPr>
                    <w:adjustRightInd w:val="0"/>
                    <w:snapToGrid w:val="0"/>
                    <w:jc w:val="center"/>
                    <w:rPr>
                      <w:rFonts w:hint="default" w:eastAsia="宋体"/>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59427AC6">
                  <w:pPr>
                    <w:tabs>
                      <w:tab w:val="left" w:pos="3620"/>
                    </w:tabs>
                    <w:adjustRightInd w:val="0"/>
                    <w:snapToGrid w:val="0"/>
                    <w:jc w:val="center"/>
                    <w:rPr>
                      <w:bCs/>
                      <w:color w:val="auto"/>
                      <w:szCs w:val="21"/>
                    </w:rPr>
                  </w:pPr>
                </w:p>
              </w:tc>
              <w:tc>
                <w:tcPr>
                  <w:tcW w:w="525" w:type="dxa"/>
                  <w:noWrap w:val="0"/>
                  <w:vAlign w:val="center"/>
                </w:tcPr>
                <w:p w14:paraId="745AAF15">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1.65</w:t>
                  </w:r>
                </w:p>
              </w:tc>
              <w:tc>
                <w:tcPr>
                  <w:tcW w:w="660" w:type="dxa"/>
                  <w:noWrap w:val="0"/>
                  <w:vAlign w:val="center"/>
                </w:tcPr>
                <w:p w14:paraId="2B23FC39">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-12.51</w:t>
                  </w:r>
                </w:p>
              </w:tc>
              <w:tc>
                <w:tcPr>
                  <w:tcW w:w="345" w:type="dxa"/>
                  <w:noWrap w:val="0"/>
                  <w:vAlign w:val="center"/>
                </w:tcPr>
                <w:p w14:paraId="02F721EF">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1C58A74A">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14.7</w:t>
                  </w:r>
                </w:p>
              </w:tc>
              <w:tc>
                <w:tcPr>
                  <w:tcW w:w="585" w:type="dxa"/>
                  <w:noWrap w:val="0"/>
                  <w:vAlign w:val="center"/>
                </w:tcPr>
                <w:p w14:paraId="63D5B2B2">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47.68 </w:t>
                  </w:r>
                </w:p>
              </w:tc>
              <w:tc>
                <w:tcPr>
                  <w:tcW w:w="600" w:type="dxa"/>
                  <w:noWrap w:val="0"/>
                  <w:vAlign w:val="center"/>
                </w:tcPr>
                <w:p w14:paraId="082BA911">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50FD4627">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53F5368D">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22.68 </w:t>
                  </w:r>
                </w:p>
              </w:tc>
              <w:tc>
                <w:tcPr>
                  <w:tcW w:w="546" w:type="dxa"/>
                  <w:noWrap w:val="0"/>
                  <w:vAlign w:val="center"/>
                </w:tcPr>
                <w:p w14:paraId="4269AE71">
                  <w:pPr>
                    <w:tabs>
                      <w:tab w:val="left" w:pos="3620"/>
                    </w:tabs>
                    <w:adjustRightInd w:val="0"/>
                    <w:snapToGrid w:val="0"/>
                    <w:jc w:val="center"/>
                    <w:rPr>
                      <w:bCs/>
                      <w:color w:val="auto"/>
                      <w:szCs w:val="21"/>
                    </w:rPr>
                  </w:pPr>
                  <w:r>
                    <w:rPr>
                      <w:bCs/>
                      <w:color w:val="auto"/>
                      <w:szCs w:val="21"/>
                    </w:rPr>
                    <w:t>1</w:t>
                  </w:r>
                </w:p>
              </w:tc>
            </w:tr>
            <w:tr w14:paraId="023323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48546CE4">
                  <w:pPr>
                    <w:tabs>
                      <w:tab w:val="left" w:pos="3620"/>
                    </w:tabs>
                    <w:adjustRightInd w:val="0"/>
                    <w:snapToGrid w:val="0"/>
                    <w:jc w:val="center"/>
                    <w:rPr>
                      <w:bCs/>
                      <w:color w:val="auto"/>
                      <w:szCs w:val="21"/>
                    </w:rPr>
                  </w:pPr>
                  <w:r>
                    <w:rPr>
                      <w:bCs/>
                      <w:color w:val="auto"/>
                      <w:szCs w:val="21"/>
                    </w:rPr>
                    <w:t>9</w:t>
                  </w:r>
                </w:p>
              </w:tc>
              <w:tc>
                <w:tcPr>
                  <w:tcW w:w="337" w:type="dxa"/>
                  <w:vMerge w:val="continue"/>
                  <w:noWrap w:val="0"/>
                  <w:vAlign w:val="center"/>
                </w:tcPr>
                <w:p w14:paraId="61158193">
                  <w:pPr>
                    <w:tabs>
                      <w:tab w:val="left" w:pos="3620"/>
                    </w:tabs>
                    <w:adjustRightInd w:val="0"/>
                    <w:snapToGrid w:val="0"/>
                    <w:jc w:val="center"/>
                    <w:rPr>
                      <w:bCs/>
                      <w:color w:val="auto"/>
                      <w:szCs w:val="21"/>
                    </w:rPr>
                  </w:pPr>
                </w:p>
              </w:tc>
              <w:tc>
                <w:tcPr>
                  <w:tcW w:w="761" w:type="dxa"/>
                  <w:noWrap w:val="0"/>
                  <w:vAlign w:val="center"/>
                </w:tcPr>
                <w:p w14:paraId="71D39A6F">
                  <w:pPr>
                    <w:adjustRightInd w:val="0"/>
                    <w:snapToGrid w:val="0"/>
                    <w:jc w:val="center"/>
                    <w:rPr>
                      <w:rFonts w:hint="default" w:eastAsia="宋体"/>
                      <w:color w:val="auto"/>
                      <w:szCs w:val="21"/>
                      <w:lang w:val="en-US" w:eastAsia="zh-CN"/>
                    </w:rPr>
                  </w:pPr>
                  <w:r>
                    <w:rPr>
                      <w:rFonts w:hint="eastAsia" w:eastAsia="宋体"/>
                      <w:color w:val="auto"/>
                      <w:szCs w:val="21"/>
                      <w:lang w:val="en-US" w:eastAsia="zh-CN"/>
                    </w:rPr>
                    <w:t>自动装配线5#</w:t>
                  </w:r>
                </w:p>
              </w:tc>
              <w:tc>
                <w:tcPr>
                  <w:tcW w:w="384" w:type="dxa"/>
                  <w:noWrap w:val="0"/>
                  <w:vAlign w:val="center"/>
                </w:tcPr>
                <w:p w14:paraId="7E5C3FE0">
                  <w:pPr>
                    <w:tabs>
                      <w:tab w:val="left" w:pos="3620"/>
                    </w:tabs>
                    <w:adjustRightInd w:val="0"/>
                    <w:snapToGrid w:val="0"/>
                    <w:jc w:val="center"/>
                    <w:rPr>
                      <w:bCs/>
                      <w:color w:val="auto"/>
                      <w:szCs w:val="21"/>
                    </w:rPr>
                  </w:pPr>
                  <w:r>
                    <w:rPr>
                      <w:bCs/>
                      <w:color w:val="auto"/>
                      <w:szCs w:val="21"/>
                    </w:rPr>
                    <w:t>/</w:t>
                  </w:r>
                </w:p>
              </w:tc>
              <w:tc>
                <w:tcPr>
                  <w:tcW w:w="680" w:type="dxa"/>
                  <w:noWrap w:val="0"/>
                  <w:vAlign w:val="center"/>
                </w:tcPr>
                <w:p w14:paraId="24BAA68A">
                  <w:pPr>
                    <w:adjustRightInd w:val="0"/>
                    <w:snapToGrid w:val="0"/>
                    <w:jc w:val="center"/>
                    <w:rPr>
                      <w:rFonts w:hint="default" w:eastAsia="宋体"/>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770A3E1D">
                  <w:pPr>
                    <w:tabs>
                      <w:tab w:val="left" w:pos="3620"/>
                    </w:tabs>
                    <w:adjustRightInd w:val="0"/>
                    <w:snapToGrid w:val="0"/>
                    <w:jc w:val="center"/>
                    <w:rPr>
                      <w:bCs/>
                      <w:color w:val="auto"/>
                      <w:szCs w:val="21"/>
                    </w:rPr>
                  </w:pPr>
                </w:p>
              </w:tc>
              <w:tc>
                <w:tcPr>
                  <w:tcW w:w="525" w:type="dxa"/>
                  <w:noWrap w:val="0"/>
                  <w:vAlign w:val="center"/>
                </w:tcPr>
                <w:p w14:paraId="236E6035">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2.8</w:t>
                  </w:r>
                </w:p>
              </w:tc>
              <w:tc>
                <w:tcPr>
                  <w:tcW w:w="660" w:type="dxa"/>
                  <w:noWrap w:val="0"/>
                  <w:vAlign w:val="center"/>
                </w:tcPr>
                <w:p w14:paraId="1D993EA9">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-13.15</w:t>
                  </w:r>
                </w:p>
              </w:tc>
              <w:tc>
                <w:tcPr>
                  <w:tcW w:w="345" w:type="dxa"/>
                  <w:noWrap w:val="0"/>
                  <w:vAlign w:val="center"/>
                </w:tcPr>
                <w:p w14:paraId="2ECB250B">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525" w:type="dxa"/>
                  <w:noWrap w:val="0"/>
                  <w:vAlign w:val="center"/>
                </w:tcPr>
                <w:p w14:paraId="76B15ACC">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14.5</w:t>
                  </w:r>
                </w:p>
              </w:tc>
              <w:tc>
                <w:tcPr>
                  <w:tcW w:w="585" w:type="dxa"/>
                  <w:noWrap w:val="0"/>
                  <w:vAlign w:val="center"/>
                </w:tcPr>
                <w:p w14:paraId="08A71FD2">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47.71 </w:t>
                  </w:r>
                </w:p>
              </w:tc>
              <w:tc>
                <w:tcPr>
                  <w:tcW w:w="600" w:type="dxa"/>
                  <w:noWrap w:val="0"/>
                  <w:vAlign w:val="center"/>
                </w:tcPr>
                <w:p w14:paraId="2E82B1AE">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04378B70">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484C867F">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22.71 </w:t>
                  </w:r>
                </w:p>
              </w:tc>
              <w:tc>
                <w:tcPr>
                  <w:tcW w:w="546" w:type="dxa"/>
                  <w:noWrap w:val="0"/>
                  <w:vAlign w:val="center"/>
                </w:tcPr>
                <w:p w14:paraId="6CFC80F1">
                  <w:pPr>
                    <w:tabs>
                      <w:tab w:val="left" w:pos="3620"/>
                    </w:tabs>
                    <w:adjustRightInd w:val="0"/>
                    <w:snapToGrid w:val="0"/>
                    <w:jc w:val="center"/>
                    <w:rPr>
                      <w:bCs/>
                      <w:color w:val="auto"/>
                      <w:szCs w:val="21"/>
                    </w:rPr>
                  </w:pPr>
                  <w:r>
                    <w:rPr>
                      <w:bCs/>
                      <w:color w:val="auto"/>
                      <w:szCs w:val="21"/>
                    </w:rPr>
                    <w:t>1</w:t>
                  </w:r>
                </w:p>
              </w:tc>
            </w:tr>
            <w:tr w14:paraId="0F7900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7EB02236">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10</w:t>
                  </w:r>
                </w:p>
              </w:tc>
              <w:tc>
                <w:tcPr>
                  <w:tcW w:w="337" w:type="dxa"/>
                  <w:vMerge w:val="continue"/>
                  <w:noWrap w:val="0"/>
                  <w:vAlign w:val="center"/>
                </w:tcPr>
                <w:p w14:paraId="284FBB62">
                  <w:pPr>
                    <w:tabs>
                      <w:tab w:val="left" w:pos="3620"/>
                    </w:tabs>
                    <w:adjustRightInd w:val="0"/>
                    <w:snapToGrid w:val="0"/>
                    <w:jc w:val="center"/>
                    <w:rPr>
                      <w:bCs/>
                      <w:color w:val="auto"/>
                      <w:szCs w:val="21"/>
                    </w:rPr>
                  </w:pPr>
                </w:p>
              </w:tc>
              <w:tc>
                <w:tcPr>
                  <w:tcW w:w="761" w:type="dxa"/>
                  <w:noWrap w:val="0"/>
                  <w:vAlign w:val="center"/>
                </w:tcPr>
                <w:p w14:paraId="600DE703">
                  <w:pPr>
                    <w:adjustRightInd w:val="0"/>
                    <w:snapToGrid w:val="0"/>
                    <w:jc w:val="center"/>
                    <w:rPr>
                      <w:rFonts w:hint="eastAsia" w:eastAsia="宋体"/>
                      <w:color w:val="auto"/>
                      <w:szCs w:val="21"/>
                      <w:lang w:val="en-US" w:eastAsia="zh-CN"/>
                    </w:rPr>
                  </w:pPr>
                  <w:r>
                    <w:rPr>
                      <w:rFonts w:hint="eastAsia" w:eastAsia="宋体"/>
                      <w:color w:val="auto"/>
                      <w:szCs w:val="21"/>
                      <w:lang w:val="en-US" w:eastAsia="zh-CN"/>
                    </w:rPr>
                    <w:t>自动装配线6#</w:t>
                  </w:r>
                </w:p>
              </w:tc>
              <w:tc>
                <w:tcPr>
                  <w:tcW w:w="384" w:type="dxa"/>
                  <w:noWrap w:val="0"/>
                  <w:vAlign w:val="center"/>
                </w:tcPr>
                <w:p w14:paraId="4C45625E">
                  <w:pPr>
                    <w:tabs>
                      <w:tab w:val="left" w:pos="3620"/>
                    </w:tabs>
                    <w:adjustRightInd w:val="0"/>
                    <w:snapToGrid w:val="0"/>
                    <w:jc w:val="center"/>
                    <w:rPr>
                      <w:rFonts w:hint="eastAsia" w:eastAsia="宋体"/>
                      <w:bCs/>
                      <w:color w:val="auto"/>
                      <w:szCs w:val="21"/>
                      <w:lang w:val="en-US" w:eastAsia="zh-CN"/>
                    </w:rPr>
                  </w:pPr>
                  <w:r>
                    <w:rPr>
                      <w:rFonts w:hint="eastAsia"/>
                      <w:bCs/>
                      <w:color w:val="auto"/>
                      <w:szCs w:val="21"/>
                      <w:lang w:val="en-US" w:eastAsia="zh-CN"/>
                    </w:rPr>
                    <w:t>/</w:t>
                  </w:r>
                </w:p>
              </w:tc>
              <w:tc>
                <w:tcPr>
                  <w:tcW w:w="680" w:type="dxa"/>
                  <w:noWrap w:val="0"/>
                  <w:vAlign w:val="center"/>
                </w:tcPr>
                <w:p w14:paraId="570B344C">
                  <w:pPr>
                    <w:adjustRightInd w:val="0"/>
                    <w:snapToGrid w:val="0"/>
                    <w:jc w:val="center"/>
                    <w:rPr>
                      <w:rFonts w:hint="default"/>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642D0142">
                  <w:pPr>
                    <w:tabs>
                      <w:tab w:val="left" w:pos="3620"/>
                    </w:tabs>
                    <w:adjustRightInd w:val="0"/>
                    <w:snapToGrid w:val="0"/>
                    <w:jc w:val="center"/>
                    <w:rPr>
                      <w:bCs/>
                      <w:color w:val="auto"/>
                      <w:szCs w:val="21"/>
                    </w:rPr>
                  </w:pPr>
                </w:p>
              </w:tc>
              <w:tc>
                <w:tcPr>
                  <w:tcW w:w="525" w:type="dxa"/>
                  <w:noWrap w:val="0"/>
                  <w:vAlign w:val="center"/>
                </w:tcPr>
                <w:p w14:paraId="53E0B6A1">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4.99</w:t>
                  </w:r>
                </w:p>
              </w:tc>
              <w:tc>
                <w:tcPr>
                  <w:tcW w:w="660" w:type="dxa"/>
                  <w:noWrap w:val="0"/>
                  <w:vAlign w:val="center"/>
                </w:tcPr>
                <w:p w14:paraId="201C8B75">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-14.31</w:t>
                  </w:r>
                </w:p>
              </w:tc>
              <w:tc>
                <w:tcPr>
                  <w:tcW w:w="345" w:type="dxa"/>
                  <w:noWrap w:val="0"/>
                  <w:vAlign w:val="center"/>
                </w:tcPr>
                <w:p w14:paraId="3DC894BA">
                  <w:pPr>
                    <w:tabs>
                      <w:tab w:val="left" w:pos="3620"/>
                    </w:tabs>
                    <w:adjustRightInd w:val="0"/>
                    <w:snapToGrid w:val="0"/>
                    <w:jc w:val="center"/>
                    <w:rPr>
                      <w:rFonts w:hint="default"/>
                      <w:bCs/>
                      <w:color w:val="auto"/>
                      <w:szCs w:val="21"/>
                      <w:lang w:val="en-US" w:eastAsia="zh-CN"/>
                    </w:rPr>
                  </w:pPr>
                  <w:r>
                    <w:rPr>
                      <w:rFonts w:hint="eastAsia"/>
                      <w:bCs/>
                      <w:color w:val="auto"/>
                      <w:szCs w:val="21"/>
                      <w:lang w:val="en-US" w:eastAsia="zh-CN"/>
                    </w:rPr>
                    <w:t>1.2</w:t>
                  </w:r>
                </w:p>
              </w:tc>
              <w:tc>
                <w:tcPr>
                  <w:tcW w:w="525" w:type="dxa"/>
                  <w:noWrap w:val="0"/>
                  <w:vAlign w:val="center"/>
                </w:tcPr>
                <w:p w14:paraId="6FC537BD">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14.4</w:t>
                  </w:r>
                </w:p>
              </w:tc>
              <w:tc>
                <w:tcPr>
                  <w:tcW w:w="585" w:type="dxa"/>
                  <w:noWrap w:val="0"/>
                  <w:vAlign w:val="center"/>
                </w:tcPr>
                <w:p w14:paraId="4626B9A5">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47.72 </w:t>
                  </w:r>
                </w:p>
              </w:tc>
              <w:tc>
                <w:tcPr>
                  <w:tcW w:w="600" w:type="dxa"/>
                  <w:noWrap w:val="0"/>
                  <w:vAlign w:val="center"/>
                </w:tcPr>
                <w:p w14:paraId="6E1F913B">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66BD05EC">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7F155FEF">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22.72 </w:t>
                  </w:r>
                </w:p>
              </w:tc>
              <w:tc>
                <w:tcPr>
                  <w:tcW w:w="546" w:type="dxa"/>
                  <w:noWrap w:val="0"/>
                  <w:vAlign w:val="center"/>
                </w:tcPr>
                <w:p w14:paraId="7FDCA44E">
                  <w:pPr>
                    <w:tabs>
                      <w:tab w:val="left" w:pos="3620"/>
                    </w:tabs>
                    <w:adjustRightInd w:val="0"/>
                    <w:snapToGrid w:val="0"/>
                    <w:jc w:val="center"/>
                    <w:rPr>
                      <w:rFonts w:hint="eastAsia" w:eastAsia="宋体"/>
                      <w:bCs/>
                      <w:color w:val="auto"/>
                      <w:szCs w:val="21"/>
                      <w:lang w:val="en-US" w:eastAsia="zh-CN"/>
                    </w:rPr>
                  </w:pPr>
                  <w:r>
                    <w:rPr>
                      <w:rFonts w:hint="eastAsia"/>
                      <w:bCs/>
                      <w:color w:val="auto"/>
                      <w:szCs w:val="21"/>
                      <w:lang w:val="en-US" w:eastAsia="zh-CN"/>
                    </w:rPr>
                    <w:t>1</w:t>
                  </w:r>
                </w:p>
              </w:tc>
            </w:tr>
            <w:tr w14:paraId="4E9D6F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noWrap w:val="0"/>
                  <w:vAlign w:val="center"/>
                </w:tcPr>
                <w:p w14:paraId="625FD070">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11</w:t>
                  </w:r>
                </w:p>
              </w:tc>
              <w:tc>
                <w:tcPr>
                  <w:tcW w:w="337" w:type="dxa"/>
                  <w:vMerge w:val="continue"/>
                  <w:noWrap w:val="0"/>
                  <w:vAlign w:val="center"/>
                </w:tcPr>
                <w:p w14:paraId="7441E8AD">
                  <w:pPr>
                    <w:tabs>
                      <w:tab w:val="left" w:pos="3620"/>
                    </w:tabs>
                    <w:adjustRightInd w:val="0"/>
                    <w:snapToGrid w:val="0"/>
                    <w:jc w:val="center"/>
                    <w:rPr>
                      <w:bCs/>
                      <w:color w:val="auto"/>
                      <w:szCs w:val="21"/>
                    </w:rPr>
                  </w:pPr>
                </w:p>
              </w:tc>
              <w:tc>
                <w:tcPr>
                  <w:tcW w:w="761" w:type="dxa"/>
                  <w:noWrap w:val="0"/>
                  <w:vAlign w:val="center"/>
                </w:tcPr>
                <w:p w14:paraId="2C8B6A46">
                  <w:pPr>
                    <w:adjustRightInd w:val="0"/>
                    <w:snapToGrid w:val="0"/>
                    <w:jc w:val="center"/>
                    <w:rPr>
                      <w:rFonts w:hint="eastAsia" w:eastAsia="宋体"/>
                      <w:color w:val="auto"/>
                      <w:szCs w:val="21"/>
                      <w:lang w:val="en-US" w:eastAsia="zh-CN"/>
                    </w:rPr>
                  </w:pPr>
                  <w:r>
                    <w:rPr>
                      <w:rFonts w:hint="eastAsia" w:eastAsia="宋体"/>
                      <w:color w:val="auto"/>
                      <w:szCs w:val="21"/>
                      <w:lang w:val="en-US" w:eastAsia="zh-CN"/>
                    </w:rPr>
                    <w:t>自动装配线7#</w:t>
                  </w:r>
                </w:p>
              </w:tc>
              <w:tc>
                <w:tcPr>
                  <w:tcW w:w="384" w:type="dxa"/>
                  <w:noWrap w:val="0"/>
                  <w:vAlign w:val="center"/>
                </w:tcPr>
                <w:p w14:paraId="43E3E30F">
                  <w:pPr>
                    <w:tabs>
                      <w:tab w:val="left" w:pos="3620"/>
                    </w:tabs>
                    <w:adjustRightInd w:val="0"/>
                    <w:snapToGrid w:val="0"/>
                    <w:jc w:val="center"/>
                    <w:rPr>
                      <w:rFonts w:hint="eastAsia" w:eastAsia="宋体"/>
                      <w:bCs/>
                      <w:color w:val="auto"/>
                      <w:szCs w:val="21"/>
                      <w:lang w:val="en-US" w:eastAsia="zh-CN"/>
                    </w:rPr>
                  </w:pPr>
                  <w:r>
                    <w:rPr>
                      <w:rFonts w:hint="eastAsia"/>
                      <w:bCs/>
                      <w:color w:val="auto"/>
                      <w:szCs w:val="21"/>
                      <w:lang w:val="en-US" w:eastAsia="zh-CN"/>
                    </w:rPr>
                    <w:t>/</w:t>
                  </w:r>
                </w:p>
              </w:tc>
              <w:tc>
                <w:tcPr>
                  <w:tcW w:w="680" w:type="dxa"/>
                  <w:noWrap w:val="0"/>
                  <w:vAlign w:val="center"/>
                </w:tcPr>
                <w:p w14:paraId="2BC3A8E7">
                  <w:pPr>
                    <w:adjustRightInd w:val="0"/>
                    <w:snapToGrid w:val="0"/>
                    <w:jc w:val="center"/>
                    <w:rPr>
                      <w:rFonts w:hint="default"/>
                      <w:color w:val="auto"/>
                      <w:szCs w:val="21"/>
                      <w:lang w:val="en-US" w:eastAsia="zh-CN"/>
                    </w:rPr>
                  </w:pPr>
                  <w:r>
                    <w:rPr>
                      <w:rFonts w:hint="eastAsia" w:eastAsia="宋体"/>
                      <w:bCs/>
                      <w:color w:val="auto"/>
                      <w:szCs w:val="21"/>
                      <w:lang w:val="en-US" w:eastAsia="zh-CN"/>
                    </w:rPr>
                    <w:t>70</w:t>
                  </w:r>
                </w:p>
              </w:tc>
              <w:tc>
                <w:tcPr>
                  <w:tcW w:w="403" w:type="dxa"/>
                  <w:vMerge w:val="continue"/>
                  <w:noWrap w:val="0"/>
                  <w:vAlign w:val="center"/>
                </w:tcPr>
                <w:p w14:paraId="1FF481C3">
                  <w:pPr>
                    <w:tabs>
                      <w:tab w:val="left" w:pos="3620"/>
                    </w:tabs>
                    <w:adjustRightInd w:val="0"/>
                    <w:snapToGrid w:val="0"/>
                    <w:jc w:val="center"/>
                    <w:rPr>
                      <w:bCs/>
                      <w:color w:val="auto"/>
                      <w:szCs w:val="21"/>
                    </w:rPr>
                  </w:pPr>
                </w:p>
              </w:tc>
              <w:tc>
                <w:tcPr>
                  <w:tcW w:w="525" w:type="dxa"/>
                  <w:noWrap w:val="0"/>
                  <w:vAlign w:val="center"/>
                </w:tcPr>
                <w:p w14:paraId="224FE441">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6.92</w:t>
                  </w:r>
                </w:p>
              </w:tc>
              <w:tc>
                <w:tcPr>
                  <w:tcW w:w="660" w:type="dxa"/>
                  <w:noWrap w:val="0"/>
                  <w:vAlign w:val="center"/>
                </w:tcPr>
                <w:p w14:paraId="7CB04432">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-15.02</w:t>
                  </w:r>
                </w:p>
              </w:tc>
              <w:tc>
                <w:tcPr>
                  <w:tcW w:w="345" w:type="dxa"/>
                  <w:noWrap w:val="0"/>
                  <w:vAlign w:val="center"/>
                </w:tcPr>
                <w:p w14:paraId="2993150A">
                  <w:pPr>
                    <w:tabs>
                      <w:tab w:val="left" w:pos="3620"/>
                    </w:tabs>
                    <w:adjustRightInd w:val="0"/>
                    <w:snapToGrid w:val="0"/>
                    <w:jc w:val="center"/>
                    <w:rPr>
                      <w:rFonts w:hint="default"/>
                      <w:bCs/>
                      <w:color w:val="auto"/>
                      <w:szCs w:val="21"/>
                      <w:lang w:val="en-US" w:eastAsia="zh-CN"/>
                    </w:rPr>
                  </w:pPr>
                  <w:r>
                    <w:rPr>
                      <w:rFonts w:hint="eastAsia"/>
                      <w:bCs/>
                      <w:color w:val="auto"/>
                      <w:szCs w:val="21"/>
                      <w:lang w:val="en-US" w:eastAsia="zh-CN"/>
                    </w:rPr>
                    <w:t>1.2</w:t>
                  </w:r>
                </w:p>
              </w:tc>
              <w:tc>
                <w:tcPr>
                  <w:tcW w:w="525" w:type="dxa"/>
                  <w:noWrap w:val="0"/>
                  <w:vAlign w:val="center"/>
                </w:tcPr>
                <w:p w14:paraId="6A5BFAB6">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14.3</w:t>
                  </w:r>
                </w:p>
              </w:tc>
              <w:tc>
                <w:tcPr>
                  <w:tcW w:w="585" w:type="dxa"/>
                  <w:noWrap w:val="0"/>
                  <w:vAlign w:val="center"/>
                </w:tcPr>
                <w:p w14:paraId="10CAEDDC">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47.74 </w:t>
                  </w:r>
                </w:p>
              </w:tc>
              <w:tc>
                <w:tcPr>
                  <w:tcW w:w="600" w:type="dxa"/>
                  <w:noWrap w:val="0"/>
                  <w:vAlign w:val="center"/>
                </w:tcPr>
                <w:p w14:paraId="50C4F2D3">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noWrap w:val="0"/>
                  <w:vAlign w:val="center"/>
                </w:tcPr>
                <w:p w14:paraId="75542C35">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25</w:t>
                  </w:r>
                </w:p>
              </w:tc>
              <w:tc>
                <w:tcPr>
                  <w:tcW w:w="621" w:type="dxa"/>
                  <w:noWrap w:val="0"/>
                  <w:vAlign w:val="center"/>
                </w:tcPr>
                <w:p w14:paraId="61FD4683">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22.74 </w:t>
                  </w:r>
                </w:p>
              </w:tc>
              <w:tc>
                <w:tcPr>
                  <w:tcW w:w="546" w:type="dxa"/>
                  <w:noWrap w:val="0"/>
                  <w:vAlign w:val="center"/>
                </w:tcPr>
                <w:p w14:paraId="00A908B9">
                  <w:pPr>
                    <w:tabs>
                      <w:tab w:val="left" w:pos="3620"/>
                    </w:tabs>
                    <w:adjustRightInd w:val="0"/>
                    <w:snapToGrid w:val="0"/>
                    <w:jc w:val="center"/>
                    <w:rPr>
                      <w:rFonts w:hint="eastAsia" w:eastAsia="宋体"/>
                      <w:bCs/>
                      <w:color w:val="auto"/>
                      <w:szCs w:val="21"/>
                      <w:lang w:val="en-US" w:eastAsia="zh-CN"/>
                    </w:rPr>
                  </w:pPr>
                  <w:r>
                    <w:rPr>
                      <w:rFonts w:hint="eastAsia"/>
                      <w:bCs/>
                      <w:color w:val="auto"/>
                      <w:szCs w:val="21"/>
                      <w:lang w:val="en-US" w:eastAsia="zh-CN"/>
                    </w:rPr>
                    <w:t>1</w:t>
                  </w:r>
                </w:p>
              </w:tc>
            </w:tr>
            <w:tr w14:paraId="24AF9F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06" w:type="dxa"/>
                  <w:tcBorders>
                    <w:bottom w:val="single" w:color="auto" w:sz="8" w:space="0"/>
                  </w:tcBorders>
                  <w:noWrap w:val="0"/>
                  <w:vAlign w:val="center"/>
                </w:tcPr>
                <w:p w14:paraId="0B5DBF39">
                  <w:pPr>
                    <w:tabs>
                      <w:tab w:val="left" w:pos="3620"/>
                    </w:tabs>
                    <w:adjustRightInd w:val="0"/>
                    <w:snapToGrid w:val="0"/>
                    <w:jc w:val="center"/>
                    <w:rPr>
                      <w:rFonts w:hint="default" w:eastAsia="宋体"/>
                      <w:bCs/>
                      <w:color w:val="auto"/>
                      <w:szCs w:val="21"/>
                      <w:lang w:val="en-US" w:eastAsia="zh-CN"/>
                    </w:rPr>
                  </w:pPr>
                  <w:r>
                    <w:rPr>
                      <w:rFonts w:hint="eastAsia"/>
                      <w:bCs/>
                      <w:color w:val="auto"/>
                      <w:szCs w:val="21"/>
                      <w:lang w:val="en-US" w:eastAsia="zh-CN"/>
                    </w:rPr>
                    <w:t>12</w:t>
                  </w:r>
                </w:p>
              </w:tc>
              <w:tc>
                <w:tcPr>
                  <w:tcW w:w="337" w:type="dxa"/>
                  <w:vMerge w:val="continue"/>
                  <w:tcBorders>
                    <w:bottom w:val="single" w:color="auto" w:sz="8" w:space="0"/>
                  </w:tcBorders>
                  <w:noWrap w:val="0"/>
                  <w:vAlign w:val="center"/>
                </w:tcPr>
                <w:p w14:paraId="0989C4D0">
                  <w:pPr>
                    <w:tabs>
                      <w:tab w:val="left" w:pos="3620"/>
                    </w:tabs>
                    <w:adjustRightInd w:val="0"/>
                    <w:snapToGrid w:val="0"/>
                    <w:jc w:val="center"/>
                    <w:rPr>
                      <w:bCs/>
                      <w:color w:val="auto"/>
                      <w:szCs w:val="21"/>
                    </w:rPr>
                  </w:pPr>
                </w:p>
              </w:tc>
              <w:tc>
                <w:tcPr>
                  <w:tcW w:w="761" w:type="dxa"/>
                  <w:tcBorders>
                    <w:bottom w:val="single" w:color="auto" w:sz="8" w:space="0"/>
                  </w:tcBorders>
                  <w:noWrap w:val="0"/>
                  <w:vAlign w:val="center"/>
                </w:tcPr>
                <w:p w14:paraId="1DF210CC">
                  <w:pPr>
                    <w:adjustRightInd w:val="0"/>
                    <w:snapToGrid w:val="0"/>
                    <w:jc w:val="center"/>
                    <w:rPr>
                      <w:rFonts w:hint="eastAsia" w:eastAsia="宋体"/>
                      <w:color w:val="auto"/>
                      <w:szCs w:val="21"/>
                      <w:lang w:val="en-US" w:eastAsia="zh-CN"/>
                    </w:rPr>
                  </w:pPr>
                  <w:r>
                    <w:rPr>
                      <w:rFonts w:hint="eastAsia" w:eastAsia="宋体"/>
                      <w:color w:val="auto"/>
                      <w:szCs w:val="21"/>
                      <w:lang w:val="en-US" w:eastAsia="zh-CN"/>
                    </w:rPr>
                    <w:t>自动装配线8#</w:t>
                  </w:r>
                </w:p>
              </w:tc>
              <w:tc>
                <w:tcPr>
                  <w:tcW w:w="384" w:type="dxa"/>
                  <w:tcBorders>
                    <w:bottom w:val="single" w:color="auto" w:sz="8" w:space="0"/>
                  </w:tcBorders>
                  <w:noWrap w:val="0"/>
                  <w:vAlign w:val="center"/>
                </w:tcPr>
                <w:p w14:paraId="0FAF5F31">
                  <w:pPr>
                    <w:tabs>
                      <w:tab w:val="left" w:pos="3620"/>
                    </w:tabs>
                    <w:adjustRightInd w:val="0"/>
                    <w:snapToGrid w:val="0"/>
                    <w:jc w:val="center"/>
                    <w:rPr>
                      <w:rFonts w:hint="eastAsia" w:eastAsia="宋体"/>
                      <w:bCs/>
                      <w:color w:val="auto"/>
                      <w:szCs w:val="21"/>
                      <w:lang w:val="en-US" w:eastAsia="zh-CN"/>
                    </w:rPr>
                  </w:pPr>
                  <w:r>
                    <w:rPr>
                      <w:rFonts w:hint="eastAsia"/>
                      <w:bCs/>
                      <w:color w:val="auto"/>
                      <w:szCs w:val="21"/>
                      <w:lang w:val="en-US" w:eastAsia="zh-CN"/>
                    </w:rPr>
                    <w:t>/</w:t>
                  </w:r>
                </w:p>
              </w:tc>
              <w:tc>
                <w:tcPr>
                  <w:tcW w:w="680" w:type="dxa"/>
                  <w:tcBorders>
                    <w:bottom w:val="single" w:color="auto" w:sz="8" w:space="0"/>
                  </w:tcBorders>
                  <w:noWrap w:val="0"/>
                  <w:vAlign w:val="center"/>
                </w:tcPr>
                <w:p w14:paraId="72929DE7">
                  <w:pPr>
                    <w:adjustRightInd w:val="0"/>
                    <w:snapToGrid w:val="0"/>
                    <w:jc w:val="center"/>
                    <w:rPr>
                      <w:rFonts w:hint="default"/>
                      <w:color w:val="auto"/>
                      <w:szCs w:val="21"/>
                      <w:lang w:val="en-US" w:eastAsia="zh-CN"/>
                    </w:rPr>
                  </w:pPr>
                  <w:r>
                    <w:rPr>
                      <w:rFonts w:hint="eastAsia" w:eastAsia="宋体"/>
                      <w:bCs/>
                      <w:color w:val="auto"/>
                      <w:szCs w:val="21"/>
                      <w:lang w:val="en-US" w:eastAsia="zh-CN"/>
                    </w:rPr>
                    <w:t>70</w:t>
                  </w:r>
                </w:p>
              </w:tc>
              <w:tc>
                <w:tcPr>
                  <w:tcW w:w="403" w:type="dxa"/>
                  <w:vMerge w:val="continue"/>
                  <w:tcBorders>
                    <w:bottom w:val="single" w:color="auto" w:sz="8" w:space="0"/>
                  </w:tcBorders>
                  <w:noWrap w:val="0"/>
                  <w:vAlign w:val="center"/>
                </w:tcPr>
                <w:p w14:paraId="1D4EFDEC">
                  <w:pPr>
                    <w:tabs>
                      <w:tab w:val="left" w:pos="3620"/>
                    </w:tabs>
                    <w:adjustRightInd w:val="0"/>
                    <w:snapToGrid w:val="0"/>
                    <w:jc w:val="center"/>
                    <w:rPr>
                      <w:bCs/>
                      <w:color w:val="auto"/>
                      <w:szCs w:val="21"/>
                    </w:rPr>
                  </w:pPr>
                </w:p>
              </w:tc>
              <w:tc>
                <w:tcPr>
                  <w:tcW w:w="525" w:type="dxa"/>
                  <w:tcBorders>
                    <w:bottom w:val="single" w:color="auto" w:sz="8" w:space="0"/>
                  </w:tcBorders>
                  <w:noWrap w:val="0"/>
                  <w:vAlign w:val="center"/>
                </w:tcPr>
                <w:p w14:paraId="7084F41F">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9.63</w:t>
                  </w:r>
                </w:p>
              </w:tc>
              <w:tc>
                <w:tcPr>
                  <w:tcW w:w="660" w:type="dxa"/>
                  <w:tcBorders>
                    <w:bottom w:val="single" w:color="auto" w:sz="8" w:space="0"/>
                  </w:tcBorders>
                  <w:noWrap w:val="0"/>
                  <w:vAlign w:val="center"/>
                </w:tcPr>
                <w:p w14:paraId="613EE0EA">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-16.3</w:t>
                  </w:r>
                </w:p>
              </w:tc>
              <w:tc>
                <w:tcPr>
                  <w:tcW w:w="345" w:type="dxa"/>
                  <w:tcBorders>
                    <w:bottom w:val="single" w:color="auto" w:sz="8" w:space="0"/>
                  </w:tcBorders>
                  <w:noWrap w:val="0"/>
                  <w:vAlign w:val="center"/>
                </w:tcPr>
                <w:p w14:paraId="0405DFF9">
                  <w:pPr>
                    <w:tabs>
                      <w:tab w:val="left" w:pos="3620"/>
                    </w:tabs>
                    <w:adjustRightInd w:val="0"/>
                    <w:snapToGrid w:val="0"/>
                    <w:jc w:val="center"/>
                    <w:rPr>
                      <w:rFonts w:hint="default"/>
                      <w:bCs/>
                      <w:color w:val="auto"/>
                      <w:szCs w:val="21"/>
                      <w:lang w:val="en-US" w:eastAsia="zh-CN"/>
                    </w:rPr>
                  </w:pPr>
                  <w:r>
                    <w:rPr>
                      <w:rFonts w:hint="eastAsia"/>
                      <w:bCs/>
                      <w:color w:val="auto"/>
                      <w:szCs w:val="21"/>
                      <w:lang w:val="en-US" w:eastAsia="zh-CN"/>
                    </w:rPr>
                    <w:t>1.2</w:t>
                  </w:r>
                </w:p>
              </w:tc>
              <w:tc>
                <w:tcPr>
                  <w:tcW w:w="525" w:type="dxa"/>
                  <w:tcBorders>
                    <w:bottom w:val="single" w:color="auto" w:sz="8" w:space="0"/>
                  </w:tcBorders>
                  <w:noWrap w:val="0"/>
                  <w:vAlign w:val="center"/>
                </w:tcPr>
                <w:p w14:paraId="3D5869CC">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15</w:t>
                  </w:r>
                </w:p>
              </w:tc>
              <w:tc>
                <w:tcPr>
                  <w:tcW w:w="585" w:type="dxa"/>
                  <w:tcBorders>
                    <w:bottom w:val="single" w:color="auto" w:sz="8" w:space="0"/>
                  </w:tcBorders>
                  <w:noWrap w:val="0"/>
                  <w:vAlign w:val="center"/>
                </w:tcPr>
                <w:p w14:paraId="57511C95">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47.64 </w:t>
                  </w:r>
                </w:p>
              </w:tc>
              <w:tc>
                <w:tcPr>
                  <w:tcW w:w="600" w:type="dxa"/>
                  <w:tcBorders>
                    <w:bottom w:val="single" w:color="auto" w:sz="8" w:space="0"/>
                  </w:tcBorders>
                  <w:noWrap w:val="0"/>
                  <w:vAlign w:val="center"/>
                </w:tcPr>
                <w:p w14:paraId="75D76FFF">
                  <w:pPr>
                    <w:tabs>
                      <w:tab w:val="left" w:pos="3620"/>
                    </w:tabs>
                    <w:adjustRightInd w:val="0"/>
                    <w:snapToGrid w:val="0"/>
                    <w:jc w:val="center"/>
                    <w:rPr>
                      <w:rFonts w:hint="eastAsia" w:eastAsia="宋体"/>
                      <w:bCs/>
                      <w:color w:val="auto"/>
                      <w:szCs w:val="21"/>
                      <w:lang w:val="en-US" w:eastAsia="zh-CN"/>
                    </w:rPr>
                  </w:pPr>
                  <w:r>
                    <w:rPr>
                      <w:rFonts w:hint="eastAsia" w:eastAsia="宋体"/>
                      <w:bCs/>
                      <w:color w:val="auto"/>
                      <w:szCs w:val="21"/>
                      <w:lang w:val="en-US" w:eastAsia="zh-CN"/>
                    </w:rPr>
                    <w:t>16小时</w:t>
                  </w:r>
                </w:p>
              </w:tc>
              <w:tc>
                <w:tcPr>
                  <w:tcW w:w="679" w:type="dxa"/>
                  <w:tcBorders>
                    <w:bottom w:val="single" w:color="auto" w:sz="8" w:space="0"/>
                  </w:tcBorders>
                  <w:noWrap w:val="0"/>
                  <w:vAlign w:val="center"/>
                </w:tcPr>
                <w:p w14:paraId="318B6177">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25</w:t>
                  </w:r>
                </w:p>
              </w:tc>
              <w:tc>
                <w:tcPr>
                  <w:tcW w:w="621" w:type="dxa"/>
                  <w:tcBorders>
                    <w:bottom w:val="single" w:color="auto" w:sz="8" w:space="0"/>
                  </w:tcBorders>
                  <w:noWrap w:val="0"/>
                  <w:vAlign w:val="center"/>
                </w:tcPr>
                <w:p w14:paraId="2B743EA7">
                  <w:pPr>
                    <w:tabs>
                      <w:tab w:val="left" w:pos="3620"/>
                    </w:tabs>
                    <w:adjustRightInd w:val="0"/>
                    <w:snapToGrid w:val="0"/>
                    <w:jc w:val="center"/>
                    <w:rPr>
                      <w:rFonts w:hint="default" w:eastAsia="宋体"/>
                      <w:bCs/>
                      <w:color w:val="auto"/>
                      <w:szCs w:val="21"/>
                      <w:lang w:val="en-US" w:eastAsia="zh-CN"/>
                    </w:rPr>
                  </w:pPr>
                  <w:r>
                    <w:rPr>
                      <w:rFonts w:hint="eastAsia" w:eastAsia="宋体"/>
                      <w:bCs/>
                      <w:color w:val="auto"/>
                      <w:szCs w:val="21"/>
                      <w:lang w:val="en-US" w:eastAsia="zh-CN"/>
                    </w:rPr>
                    <w:t xml:space="preserve">22.64 </w:t>
                  </w:r>
                </w:p>
              </w:tc>
              <w:tc>
                <w:tcPr>
                  <w:tcW w:w="546" w:type="dxa"/>
                  <w:tcBorders>
                    <w:bottom w:val="single" w:color="auto" w:sz="8" w:space="0"/>
                  </w:tcBorders>
                  <w:noWrap w:val="0"/>
                  <w:vAlign w:val="center"/>
                </w:tcPr>
                <w:p w14:paraId="7709FC68">
                  <w:pPr>
                    <w:tabs>
                      <w:tab w:val="left" w:pos="3620"/>
                    </w:tabs>
                    <w:adjustRightInd w:val="0"/>
                    <w:snapToGrid w:val="0"/>
                    <w:jc w:val="center"/>
                    <w:rPr>
                      <w:rFonts w:hint="eastAsia" w:eastAsia="宋体"/>
                      <w:bCs/>
                      <w:color w:val="auto"/>
                      <w:szCs w:val="21"/>
                      <w:lang w:val="en-US" w:eastAsia="zh-CN"/>
                    </w:rPr>
                  </w:pPr>
                  <w:r>
                    <w:rPr>
                      <w:rFonts w:hint="eastAsia"/>
                      <w:bCs/>
                      <w:color w:val="auto"/>
                      <w:szCs w:val="21"/>
                      <w:lang w:val="en-US" w:eastAsia="zh-CN"/>
                    </w:rPr>
                    <w:t>1</w:t>
                  </w:r>
                </w:p>
              </w:tc>
            </w:tr>
          </w:tbl>
          <w:p w14:paraId="4F6A87F9">
            <w:pPr>
              <w:tabs>
                <w:tab w:val="left" w:pos="3620"/>
              </w:tabs>
              <w:adjustRightInd w:val="0"/>
              <w:snapToGrid w:val="0"/>
              <w:spacing w:line="440" w:lineRule="exact"/>
              <w:ind w:firstLine="480" w:firstLineChars="200"/>
              <w:rPr>
                <w:rFonts w:hint="default"/>
                <w:color w:val="auto"/>
                <w:sz w:val="24"/>
                <w:highlight w:val="none"/>
                <w:lang w:val="en-US" w:eastAsia="zh-CN"/>
              </w:rPr>
            </w:pPr>
            <w:r>
              <w:rPr>
                <w:rFonts w:hint="eastAsia" w:hAnsi="宋体"/>
                <w:color w:val="auto"/>
                <w:sz w:val="24"/>
                <w:lang w:val="en-US" w:eastAsia="zh-CN"/>
              </w:rPr>
              <w:t>经以上计算可知1#</w:t>
            </w:r>
            <w:r>
              <w:rPr>
                <w:rFonts w:hint="eastAsia" w:hAnsi="宋体"/>
                <w:color w:val="auto"/>
                <w:sz w:val="24"/>
              </w:rPr>
              <w:t>生产车间</w:t>
            </w:r>
            <w:r>
              <w:rPr>
                <w:rFonts w:hint="eastAsia" w:hAnsi="宋体"/>
                <w:color w:val="auto"/>
                <w:sz w:val="24"/>
                <w:lang w:val="en-US" w:eastAsia="zh-CN"/>
              </w:rPr>
              <w:t>内</w:t>
            </w:r>
            <w:r>
              <w:rPr>
                <w:rFonts w:hint="eastAsia" w:hAnsi="宋体"/>
                <w:color w:val="auto"/>
                <w:sz w:val="24"/>
              </w:rPr>
              <w:t>各生产设备叠加噪声</w:t>
            </w:r>
            <w:r>
              <w:rPr>
                <w:rFonts w:hint="eastAsia" w:hAnsi="宋体"/>
                <w:color w:val="auto"/>
                <w:sz w:val="24"/>
                <w:highlight w:val="none"/>
              </w:rPr>
              <w:t>级为</w:t>
            </w:r>
            <w:r>
              <w:rPr>
                <w:rFonts w:hint="eastAsia" w:hAnsi="宋体"/>
                <w:color w:val="auto"/>
                <w:sz w:val="24"/>
                <w:highlight w:val="none"/>
                <w:lang w:val="en-US" w:eastAsia="zh-CN"/>
              </w:rPr>
              <w:t>33.16</w:t>
            </w:r>
            <w:r>
              <w:rPr>
                <w:rFonts w:hAnsi="宋体"/>
                <w:color w:val="auto"/>
                <w:sz w:val="24"/>
                <w:highlight w:val="none"/>
              </w:rPr>
              <w:t>dB（A）</w:t>
            </w:r>
            <w:r>
              <w:rPr>
                <w:rFonts w:hint="eastAsia" w:hAnsi="宋体"/>
                <w:color w:val="auto"/>
                <w:sz w:val="24"/>
                <w:highlight w:val="none"/>
                <w:lang w:eastAsia="zh-CN"/>
              </w:rPr>
              <w:t>；</w:t>
            </w:r>
            <w:r>
              <w:rPr>
                <w:rFonts w:hint="eastAsia" w:hAnsi="宋体"/>
                <w:color w:val="auto"/>
                <w:sz w:val="24"/>
                <w:highlight w:val="none"/>
                <w:lang w:val="en-US" w:eastAsia="zh-CN"/>
              </w:rPr>
              <w:t>2#生产车间内各生产设备叠加噪声级为32.19</w:t>
            </w:r>
            <w:r>
              <w:rPr>
                <w:rFonts w:hAnsi="宋体"/>
                <w:color w:val="auto"/>
                <w:sz w:val="24"/>
                <w:highlight w:val="none"/>
              </w:rPr>
              <w:t>dB（A）</w:t>
            </w:r>
            <w:r>
              <w:rPr>
                <w:rFonts w:hint="eastAsia"/>
                <w:color w:val="auto"/>
                <w:sz w:val="24"/>
                <w:highlight w:val="none"/>
                <w:lang w:eastAsia="zh-CN"/>
              </w:rPr>
              <w:t>。</w:t>
            </w:r>
          </w:p>
          <w:p w14:paraId="386A0104">
            <w:pPr>
              <w:tabs>
                <w:tab w:val="left" w:pos="3620"/>
              </w:tabs>
              <w:adjustRightInd w:val="0"/>
              <w:snapToGrid w:val="0"/>
              <w:spacing w:line="440" w:lineRule="exact"/>
              <w:ind w:firstLine="480" w:firstLineChars="200"/>
              <w:rPr>
                <w:rFonts w:hAnsi="宋体"/>
                <w:color w:val="auto"/>
                <w:sz w:val="24"/>
                <w:highlight w:val="none"/>
              </w:rPr>
            </w:pPr>
            <w:r>
              <w:rPr>
                <w:rFonts w:hAnsi="宋体"/>
                <w:color w:val="auto"/>
                <w:sz w:val="24"/>
                <w:highlight w:val="none"/>
              </w:rPr>
              <w:t>然后按下式将室外声源的声压级和透过面积换算成等效的室外声源</w:t>
            </w:r>
            <w:r>
              <w:rPr>
                <w:rFonts w:hint="eastAsia" w:hAnsi="宋体"/>
                <w:color w:val="auto"/>
                <w:sz w:val="24"/>
                <w:highlight w:val="none"/>
              </w:rPr>
              <w:t>声功率级</w:t>
            </w:r>
            <w:r>
              <w:rPr>
                <w:rFonts w:hAnsi="宋体"/>
                <w:color w:val="auto"/>
                <w:sz w:val="24"/>
                <w:highlight w:val="none"/>
              </w:rPr>
              <w:t>，计算出中心位置位于透声面积（S）处的等效声源的倍频带声功率级：</w:t>
            </w:r>
          </w:p>
          <w:p w14:paraId="5E1433F4">
            <w:pPr>
              <w:tabs>
                <w:tab w:val="left" w:pos="3620"/>
              </w:tabs>
              <w:adjustRightInd w:val="0"/>
              <w:snapToGrid w:val="0"/>
              <w:spacing w:line="440" w:lineRule="exact"/>
              <w:ind w:firstLine="480" w:firstLineChars="200"/>
              <w:jc w:val="center"/>
              <w:rPr>
                <w:rFonts w:hAnsi="宋体"/>
                <w:color w:val="auto"/>
                <w:sz w:val="24"/>
                <w:highlight w:val="none"/>
              </w:rPr>
            </w:pPr>
            <w:r>
              <w:rPr>
                <w:rFonts w:hint="eastAsia" w:hAnsi="宋体"/>
                <w:color w:val="auto"/>
                <w:sz w:val="24"/>
                <w:highlight w:val="none"/>
              </w:rPr>
              <w:t>L</w:t>
            </w:r>
            <w:r>
              <w:rPr>
                <w:rFonts w:hint="eastAsia" w:hAnsi="宋体"/>
                <w:color w:val="auto"/>
                <w:sz w:val="24"/>
                <w:highlight w:val="none"/>
                <w:vertAlign w:val="subscript"/>
              </w:rPr>
              <w:t>w2</w:t>
            </w:r>
            <w:r>
              <w:rPr>
                <w:rFonts w:hAnsi="宋体"/>
                <w:color w:val="auto"/>
                <w:sz w:val="24"/>
                <w:highlight w:val="none"/>
              </w:rPr>
              <w:t>=L</w:t>
            </w:r>
            <w:r>
              <w:rPr>
                <w:rFonts w:hAnsi="宋体"/>
                <w:color w:val="auto"/>
                <w:sz w:val="24"/>
                <w:highlight w:val="none"/>
                <w:vertAlign w:val="subscript"/>
              </w:rPr>
              <w:t>p2</w:t>
            </w:r>
            <w:r>
              <w:rPr>
                <w:rFonts w:hAnsi="宋体"/>
                <w:color w:val="auto"/>
                <w:sz w:val="24"/>
                <w:highlight w:val="none"/>
              </w:rPr>
              <w:t>（T）+10lgS</w:t>
            </w:r>
          </w:p>
          <w:p w14:paraId="264EB4B1">
            <w:pPr>
              <w:tabs>
                <w:tab w:val="left" w:pos="3620"/>
              </w:tabs>
              <w:adjustRightInd w:val="0"/>
              <w:snapToGrid w:val="0"/>
              <w:spacing w:line="440" w:lineRule="exact"/>
              <w:ind w:firstLine="480" w:firstLineChars="200"/>
              <w:rPr>
                <w:rFonts w:hAnsi="宋体"/>
                <w:color w:val="auto"/>
                <w:sz w:val="24"/>
                <w:highlight w:val="none"/>
              </w:rPr>
            </w:pPr>
            <w:r>
              <w:rPr>
                <w:rFonts w:hAnsi="宋体"/>
                <w:color w:val="auto"/>
                <w:sz w:val="24"/>
                <w:highlight w:val="none"/>
              </w:rPr>
              <w:t>式中：L</w:t>
            </w:r>
            <w:r>
              <w:rPr>
                <w:rFonts w:hAnsi="宋体"/>
                <w:color w:val="auto"/>
                <w:sz w:val="24"/>
                <w:highlight w:val="none"/>
                <w:vertAlign w:val="subscript"/>
              </w:rPr>
              <w:t>w2</w:t>
            </w:r>
            <w:r>
              <w:rPr>
                <w:rFonts w:hAnsi="宋体"/>
                <w:color w:val="auto"/>
                <w:sz w:val="24"/>
                <w:highlight w:val="none"/>
              </w:rPr>
              <w:t>——中心位置位于透声面积（S）处的等效声源的倍频带声功率级，dB；</w:t>
            </w:r>
          </w:p>
          <w:p w14:paraId="218D0794">
            <w:pPr>
              <w:tabs>
                <w:tab w:val="left" w:pos="3620"/>
              </w:tabs>
              <w:adjustRightInd w:val="0"/>
              <w:snapToGrid w:val="0"/>
              <w:spacing w:line="440" w:lineRule="exact"/>
              <w:ind w:firstLine="480" w:firstLineChars="200"/>
              <w:rPr>
                <w:rFonts w:hAnsi="宋体"/>
                <w:color w:val="auto"/>
                <w:sz w:val="24"/>
                <w:highlight w:val="none"/>
              </w:rPr>
            </w:pPr>
            <w:r>
              <w:rPr>
                <w:rFonts w:hAnsi="宋体"/>
                <w:color w:val="auto"/>
                <w:sz w:val="24"/>
                <w:highlight w:val="none"/>
              </w:rPr>
              <w:t xml:space="preserve">   </w:t>
            </w:r>
            <w:r>
              <w:rPr>
                <w:rFonts w:hint="eastAsia" w:hAnsi="宋体"/>
                <w:color w:val="auto"/>
                <w:sz w:val="24"/>
                <w:highlight w:val="none"/>
              </w:rPr>
              <w:t xml:space="preserve">   </w:t>
            </w:r>
            <w:r>
              <w:rPr>
                <w:rFonts w:hAnsi="宋体"/>
                <w:color w:val="auto"/>
                <w:sz w:val="24"/>
                <w:highlight w:val="none"/>
              </w:rPr>
              <w:t>L</w:t>
            </w:r>
            <w:r>
              <w:rPr>
                <w:rFonts w:hAnsi="宋体"/>
                <w:color w:val="auto"/>
                <w:sz w:val="24"/>
                <w:highlight w:val="none"/>
                <w:vertAlign w:val="subscript"/>
              </w:rPr>
              <w:t>p2</w:t>
            </w:r>
            <w:r>
              <w:rPr>
                <w:rFonts w:hAnsi="宋体"/>
                <w:color w:val="auto"/>
                <w:sz w:val="24"/>
                <w:highlight w:val="none"/>
              </w:rPr>
              <w:t>（T）——靠近围护结构处室外声源的声压级，dB；</w:t>
            </w:r>
          </w:p>
          <w:p w14:paraId="40F2F43C">
            <w:pPr>
              <w:tabs>
                <w:tab w:val="left" w:pos="3620"/>
              </w:tabs>
              <w:adjustRightInd w:val="0"/>
              <w:snapToGrid w:val="0"/>
              <w:spacing w:line="440" w:lineRule="exact"/>
              <w:ind w:firstLine="480" w:firstLineChars="200"/>
              <w:rPr>
                <w:rFonts w:hAnsi="宋体"/>
                <w:color w:val="auto"/>
                <w:sz w:val="24"/>
                <w:highlight w:val="none"/>
              </w:rPr>
            </w:pPr>
            <w:r>
              <w:rPr>
                <w:rFonts w:hAnsi="宋体"/>
                <w:color w:val="auto"/>
                <w:sz w:val="24"/>
                <w:highlight w:val="none"/>
              </w:rPr>
              <w:t xml:space="preserve">   </w:t>
            </w:r>
            <w:r>
              <w:rPr>
                <w:rFonts w:hint="eastAsia" w:hAnsi="宋体"/>
                <w:color w:val="auto"/>
                <w:sz w:val="24"/>
                <w:highlight w:val="none"/>
              </w:rPr>
              <w:t xml:space="preserve">   </w:t>
            </w:r>
            <w:r>
              <w:rPr>
                <w:rFonts w:hAnsi="宋体"/>
                <w:color w:val="auto"/>
                <w:sz w:val="24"/>
                <w:highlight w:val="none"/>
              </w:rPr>
              <w:t>S——透声面积，m</w:t>
            </w:r>
            <w:r>
              <w:rPr>
                <w:rFonts w:hAnsi="宋体"/>
                <w:color w:val="auto"/>
                <w:sz w:val="24"/>
                <w:highlight w:val="none"/>
                <w:vertAlign w:val="superscript"/>
              </w:rPr>
              <w:t>2</w:t>
            </w:r>
            <w:r>
              <w:rPr>
                <w:rFonts w:hAnsi="宋体"/>
                <w:color w:val="auto"/>
                <w:sz w:val="24"/>
                <w:highlight w:val="none"/>
              </w:rPr>
              <w:t>。</w:t>
            </w:r>
            <w:r>
              <w:rPr>
                <w:rFonts w:hint="eastAsia" w:hAnsi="宋体"/>
                <w:color w:val="auto"/>
                <w:sz w:val="24"/>
                <w:highlight w:val="none"/>
              </w:rPr>
              <w:t>（</w:t>
            </w:r>
            <w:r>
              <w:rPr>
                <w:rFonts w:hAnsi="宋体"/>
                <w:color w:val="auto"/>
                <w:sz w:val="24"/>
                <w:highlight w:val="none"/>
              </w:rPr>
              <w:t>车间</w:t>
            </w:r>
            <w:r>
              <w:rPr>
                <w:rFonts w:hint="eastAsia" w:hAnsi="宋体"/>
                <w:color w:val="auto"/>
                <w:sz w:val="24"/>
                <w:highlight w:val="none"/>
              </w:rPr>
              <w:t>S=</w:t>
            </w:r>
            <w:r>
              <w:rPr>
                <w:rFonts w:hint="eastAsia" w:hAnsi="宋体"/>
                <w:color w:val="auto"/>
                <w:sz w:val="24"/>
                <w:highlight w:val="none"/>
                <w:lang w:val="en-US" w:eastAsia="zh-CN"/>
              </w:rPr>
              <w:t>10</w:t>
            </w:r>
            <w:r>
              <w:rPr>
                <w:rFonts w:hint="eastAsia" w:hAnsi="宋体"/>
                <w:color w:val="auto"/>
                <w:sz w:val="24"/>
                <w:highlight w:val="none"/>
              </w:rPr>
              <w:t>）</w:t>
            </w:r>
          </w:p>
          <w:p w14:paraId="0FE2F50E">
            <w:pPr>
              <w:pStyle w:val="25"/>
              <w:snapToGrid w:val="0"/>
              <w:spacing w:line="440" w:lineRule="exact"/>
              <w:ind w:firstLine="480" w:firstLineChars="200"/>
              <w:rPr>
                <w:rFonts w:hint="default" w:ascii="Times New Roman" w:hAnsi="Times New Roman" w:eastAsia="宋体" w:cs="Times New Roman"/>
                <w:color w:val="auto"/>
                <w:kern w:val="24"/>
                <w:sz w:val="24"/>
                <w:szCs w:val="20"/>
                <w:highlight w:val="none"/>
                <w:lang w:val="en-US" w:eastAsia="zh-CN" w:bidi="ar-SA"/>
              </w:rPr>
            </w:pPr>
            <w:r>
              <w:rPr>
                <w:rFonts w:hint="eastAsia" w:ascii="Times New Roman" w:hAnsi="Times New Roman" w:eastAsia="宋体" w:cs="Times New Roman"/>
                <w:color w:val="auto"/>
                <w:kern w:val="24"/>
                <w:sz w:val="24"/>
                <w:szCs w:val="20"/>
                <w:highlight w:val="none"/>
                <w:lang w:val="en-US" w:eastAsia="zh-CN" w:bidi="ar-SA"/>
              </w:rPr>
              <w:t>经计算，本项目1#生产车间厂房外各生产设备等效声功率级为</w:t>
            </w:r>
            <w:r>
              <w:rPr>
                <w:rFonts w:hint="eastAsia" w:ascii="Times New Roman" w:hAnsi="Times New Roman" w:cs="Times New Roman"/>
                <w:color w:val="auto"/>
                <w:kern w:val="24"/>
                <w:sz w:val="24"/>
                <w:szCs w:val="20"/>
                <w:highlight w:val="none"/>
                <w:lang w:val="en-US" w:eastAsia="zh-CN" w:bidi="ar-SA"/>
              </w:rPr>
              <w:t>43.16</w:t>
            </w:r>
            <w:r>
              <w:rPr>
                <w:rFonts w:hint="eastAsia" w:ascii="Times New Roman" w:hAnsi="Times New Roman" w:eastAsia="宋体" w:cs="Times New Roman"/>
                <w:color w:val="auto"/>
                <w:kern w:val="24"/>
                <w:sz w:val="24"/>
                <w:szCs w:val="20"/>
                <w:highlight w:val="none"/>
                <w:lang w:val="en-US" w:eastAsia="zh-CN" w:bidi="ar-SA"/>
              </w:rPr>
              <w:t>dB（A），2#生产车间厂房外各生产设备等效声功率级为</w:t>
            </w:r>
            <w:r>
              <w:rPr>
                <w:rFonts w:hint="eastAsia" w:ascii="Times New Roman" w:hAnsi="Times New Roman" w:cs="Times New Roman"/>
                <w:color w:val="auto"/>
                <w:kern w:val="24"/>
                <w:sz w:val="24"/>
                <w:szCs w:val="20"/>
                <w:highlight w:val="none"/>
                <w:lang w:val="en-US" w:eastAsia="zh-CN" w:bidi="ar-SA"/>
              </w:rPr>
              <w:t>42.19</w:t>
            </w:r>
            <w:r>
              <w:rPr>
                <w:rFonts w:hint="eastAsia" w:ascii="Times New Roman" w:hAnsi="Times New Roman" w:eastAsia="宋体" w:cs="Times New Roman"/>
                <w:color w:val="auto"/>
                <w:kern w:val="24"/>
                <w:sz w:val="24"/>
                <w:szCs w:val="20"/>
                <w:highlight w:val="none"/>
                <w:lang w:val="en-US" w:eastAsia="zh-CN" w:bidi="ar-SA"/>
              </w:rPr>
              <w:t>dB（A）。</w:t>
            </w:r>
          </w:p>
          <w:p w14:paraId="01D617E7">
            <w:pPr>
              <w:pStyle w:val="25"/>
              <w:snapToGrid w:val="0"/>
              <w:spacing w:line="440" w:lineRule="exact"/>
              <w:ind w:firstLine="480" w:firstLineChars="200"/>
              <w:rPr>
                <w:color w:val="auto"/>
              </w:rPr>
            </w:pPr>
            <w:r>
              <w:rPr>
                <w:rFonts w:ascii="Times New Roman" w:hAnsi="Times New Roman" w:eastAsia="宋体" w:cs="Times New Roman"/>
                <w:color w:val="auto"/>
                <w:kern w:val="24"/>
                <w:sz w:val="24"/>
                <w:szCs w:val="20"/>
                <w:highlight w:val="none"/>
                <w:lang w:val="en-US" w:eastAsia="zh-CN" w:bidi="ar-SA"/>
              </w:rPr>
              <w:t>评价根据最不利因素进行考虑：即所有高噪声设备同时运行。合成噪声对厂界的影响以噪声源在传播过程中的距离衰减因素为主，对于传播发散、</w:t>
            </w:r>
            <w:r>
              <w:rPr>
                <w:color w:val="auto"/>
              </w:rPr>
              <w:t>空气吸收、阻挡物的反射因素的影响未做考虑，噪声在传播过程中随距离的衰减按下公式计算：</w:t>
            </w:r>
          </w:p>
          <w:p w14:paraId="7303241C">
            <w:pPr>
              <w:pStyle w:val="25"/>
              <w:snapToGrid w:val="0"/>
              <w:spacing w:line="420" w:lineRule="exact"/>
              <w:ind w:firstLine="480" w:firstLineChars="200"/>
              <w:jc w:val="center"/>
              <w:rPr>
                <w:rFonts w:hint="default" w:eastAsia="宋体"/>
                <w:color w:val="auto"/>
                <w:lang w:val="en-US" w:eastAsia="zh-CN"/>
              </w:rPr>
            </w:pPr>
            <w:r>
              <w:rPr>
                <w:color w:val="auto"/>
              </w:rPr>
              <w:t>L</w:t>
            </w:r>
            <w:r>
              <w:rPr>
                <w:color w:val="auto"/>
                <w:vertAlign w:val="subscript"/>
              </w:rPr>
              <w:t>P</w:t>
            </w:r>
            <w:r>
              <w:rPr>
                <w:color w:val="auto"/>
              </w:rPr>
              <w:t>=L</w:t>
            </w:r>
            <w:r>
              <w:rPr>
                <w:rFonts w:hint="eastAsia"/>
                <w:b/>
                <w:color w:val="auto"/>
                <w:vertAlign w:val="subscript"/>
                <w:lang w:val="en-US" w:eastAsia="zh-CN"/>
              </w:rPr>
              <w:t>w</w:t>
            </w:r>
            <w:r>
              <w:rPr>
                <w:color w:val="auto"/>
              </w:rPr>
              <w:t>－20lgr－</w:t>
            </w:r>
            <w:r>
              <w:rPr>
                <w:rFonts w:hint="eastAsia"/>
                <w:color w:val="auto"/>
                <w:lang w:val="en-US" w:eastAsia="zh-CN"/>
              </w:rPr>
              <w:t>8</w:t>
            </w:r>
          </w:p>
          <w:p w14:paraId="45183B51">
            <w:pPr>
              <w:spacing w:line="440" w:lineRule="exact"/>
              <w:ind w:firstLine="480" w:firstLineChars="200"/>
              <w:rPr>
                <w:color w:val="auto"/>
                <w:sz w:val="24"/>
              </w:rPr>
            </w:pPr>
            <w:r>
              <w:rPr>
                <w:color w:val="auto"/>
                <w:sz w:val="24"/>
              </w:rPr>
              <w:t>式中：L</w:t>
            </w:r>
            <w:r>
              <w:rPr>
                <w:color w:val="auto"/>
                <w:sz w:val="24"/>
                <w:vertAlign w:val="subscript"/>
              </w:rPr>
              <w:t>P</w:t>
            </w:r>
            <w:r>
              <w:rPr>
                <w:color w:val="auto"/>
                <w:sz w:val="24"/>
              </w:rPr>
              <w:t>——预测点的噪声值，dB(A)；</w:t>
            </w:r>
          </w:p>
          <w:p w14:paraId="5E6C91EC">
            <w:pPr>
              <w:spacing w:line="440" w:lineRule="exact"/>
              <w:ind w:firstLine="1200" w:firstLineChars="500"/>
              <w:rPr>
                <w:color w:val="auto"/>
                <w:sz w:val="24"/>
              </w:rPr>
            </w:pPr>
            <w:r>
              <w:rPr>
                <w:color w:val="auto"/>
                <w:sz w:val="24"/>
              </w:rPr>
              <w:t>L</w:t>
            </w:r>
            <w:r>
              <w:rPr>
                <w:color w:val="auto"/>
                <w:sz w:val="24"/>
                <w:vertAlign w:val="subscript"/>
              </w:rPr>
              <w:t>合</w:t>
            </w:r>
            <w:r>
              <w:rPr>
                <w:color w:val="auto"/>
                <w:sz w:val="24"/>
              </w:rPr>
              <w:t>——点声源合成噪声值，dB(A)；</w:t>
            </w:r>
          </w:p>
          <w:p w14:paraId="08CC879F">
            <w:pPr>
              <w:spacing w:line="440" w:lineRule="exact"/>
              <w:ind w:firstLine="1200" w:firstLineChars="500"/>
              <w:rPr>
                <w:color w:val="auto"/>
                <w:sz w:val="24"/>
              </w:rPr>
            </w:pPr>
            <w:r>
              <w:rPr>
                <w:color w:val="auto"/>
                <w:sz w:val="24"/>
              </w:rPr>
              <w:t>r——衰减距离（m）。</w:t>
            </w:r>
          </w:p>
          <w:p w14:paraId="6EC71518">
            <w:pPr>
              <w:spacing w:line="440" w:lineRule="exact"/>
              <w:ind w:firstLine="480" w:firstLineChars="200"/>
              <w:rPr>
                <w:color w:val="auto"/>
                <w:sz w:val="24"/>
              </w:rPr>
            </w:pPr>
            <w:r>
              <w:rPr>
                <w:color w:val="auto"/>
                <w:sz w:val="24"/>
              </w:rPr>
              <w:t>根据本工程噪声源的分布，对项目四周厂界噪声排放量进行预测计算，厂界噪声的预测结果见下表。</w:t>
            </w:r>
          </w:p>
          <w:p w14:paraId="405A24AE">
            <w:pPr>
              <w:spacing w:line="440" w:lineRule="exact"/>
              <w:jc w:val="center"/>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s="Times New Roman"/>
                <w:color w:val="auto"/>
                <w:kern w:val="2"/>
                <w:sz w:val="24"/>
                <w:szCs w:val="24"/>
                <w:highlight w:val="none"/>
                <w:lang w:val="en-US" w:eastAsia="zh-CN" w:bidi="ar-SA"/>
              </w:rPr>
              <w:t>表17    本项目各厂界噪声预测值    单位：dB(A)</w:t>
            </w:r>
          </w:p>
          <w:tbl>
            <w:tblPr>
              <w:tblStyle w:val="17"/>
              <w:tblW w:w="4998"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1681"/>
              <w:gridCol w:w="1558"/>
              <w:gridCol w:w="1368"/>
              <w:gridCol w:w="1368"/>
            </w:tblGrid>
            <w:tr w14:paraId="4EE105B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pct"/>
                  <w:tcBorders>
                    <w:top w:val="single" w:color="auto" w:sz="8" w:space="0"/>
                    <w:bottom w:val="single" w:color="auto" w:sz="8" w:space="0"/>
                  </w:tcBorders>
                  <w:noWrap w:val="0"/>
                  <w:vAlign w:val="center"/>
                </w:tcPr>
                <w:p w14:paraId="4E7BB8AC">
                  <w:pPr>
                    <w:adjustRightInd w:val="0"/>
                    <w:snapToGrid w:val="0"/>
                    <w:jc w:val="center"/>
                    <w:rPr>
                      <w:b/>
                      <w:bCs/>
                      <w:color w:val="auto"/>
                      <w:szCs w:val="21"/>
                      <w:highlight w:val="none"/>
                    </w:rPr>
                  </w:pPr>
                  <w:r>
                    <w:rPr>
                      <w:rFonts w:hint="eastAsia"/>
                      <w:b/>
                      <w:bCs/>
                      <w:color w:val="auto"/>
                      <w:szCs w:val="21"/>
                      <w:highlight w:val="none"/>
                    </w:rPr>
                    <w:t>预测点</w:t>
                  </w:r>
                </w:p>
              </w:tc>
              <w:tc>
                <w:tcPr>
                  <w:tcW w:w="1058" w:type="pct"/>
                  <w:tcBorders>
                    <w:top w:val="single" w:color="auto" w:sz="8" w:space="0"/>
                    <w:bottom w:val="single" w:color="auto" w:sz="8" w:space="0"/>
                  </w:tcBorders>
                  <w:noWrap w:val="0"/>
                  <w:vAlign w:val="center"/>
                </w:tcPr>
                <w:p w14:paraId="78150F25">
                  <w:pPr>
                    <w:adjustRightInd w:val="0"/>
                    <w:snapToGrid w:val="0"/>
                    <w:jc w:val="center"/>
                    <w:rPr>
                      <w:b/>
                      <w:bCs/>
                      <w:color w:val="auto"/>
                      <w:szCs w:val="21"/>
                      <w:highlight w:val="none"/>
                    </w:rPr>
                  </w:pPr>
                  <w:r>
                    <w:rPr>
                      <w:rFonts w:hint="eastAsia"/>
                      <w:b/>
                      <w:bCs/>
                      <w:color w:val="auto"/>
                      <w:szCs w:val="21"/>
                      <w:highlight w:val="none"/>
                    </w:rPr>
                    <w:t>东厂界</w:t>
                  </w:r>
                </w:p>
              </w:tc>
              <w:tc>
                <w:tcPr>
                  <w:tcW w:w="981" w:type="pct"/>
                  <w:tcBorders>
                    <w:top w:val="single" w:color="auto" w:sz="8" w:space="0"/>
                    <w:bottom w:val="single" w:color="auto" w:sz="8" w:space="0"/>
                  </w:tcBorders>
                  <w:noWrap w:val="0"/>
                  <w:vAlign w:val="center"/>
                </w:tcPr>
                <w:p w14:paraId="63737C37">
                  <w:pPr>
                    <w:adjustRightInd w:val="0"/>
                    <w:snapToGrid w:val="0"/>
                    <w:jc w:val="center"/>
                    <w:rPr>
                      <w:b/>
                      <w:bCs/>
                      <w:color w:val="auto"/>
                      <w:szCs w:val="21"/>
                      <w:highlight w:val="none"/>
                    </w:rPr>
                  </w:pPr>
                  <w:r>
                    <w:rPr>
                      <w:rFonts w:hint="eastAsia"/>
                      <w:b/>
                      <w:bCs/>
                      <w:color w:val="auto"/>
                      <w:szCs w:val="21"/>
                      <w:highlight w:val="none"/>
                    </w:rPr>
                    <w:t>南厂界</w:t>
                  </w:r>
                </w:p>
              </w:tc>
              <w:tc>
                <w:tcPr>
                  <w:tcW w:w="861" w:type="pct"/>
                  <w:tcBorders>
                    <w:top w:val="single" w:color="auto" w:sz="8" w:space="0"/>
                    <w:bottom w:val="single" w:color="auto" w:sz="8" w:space="0"/>
                  </w:tcBorders>
                  <w:noWrap w:val="0"/>
                  <w:vAlign w:val="center"/>
                </w:tcPr>
                <w:p w14:paraId="208AED4D">
                  <w:pPr>
                    <w:adjustRightInd w:val="0"/>
                    <w:snapToGrid w:val="0"/>
                    <w:jc w:val="center"/>
                    <w:rPr>
                      <w:b/>
                      <w:bCs/>
                      <w:color w:val="auto"/>
                      <w:szCs w:val="21"/>
                      <w:highlight w:val="none"/>
                    </w:rPr>
                  </w:pPr>
                  <w:r>
                    <w:rPr>
                      <w:rFonts w:hint="eastAsia"/>
                      <w:b/>
                      <w:bCs/>
                      <w:color w:val="auto"/>
                      <w:szCs w:val="21"/>
                      <w:highlight w:val="none"/>
                    </w:rPr>
                    <w:t>西厂界</w:t>
                  </w:r>
                </w:p>
              </w:tc>
              <w:tc>
                <w:tcPr>
                  <w:tcW w:w="861" w:type="pct"/>
                  <w:tcBorders>
                    <w:top w:val="single" w:color="auto" w:sz="8" w:space="0"/>
                    <w:bottom w:val="single" w:color="auto" w:sz="8" w:space="0"/>
                  </w:tcBorders>
                  <w:noWrap w:val="0"/>
                  <w:vAlign w:val="center"/>
                </w:tcPr>
                <w:p w14:paraId="6625080C">
                  <w:pPr>
                    <w:adjustRightInd w:val="0"/>
                    <w:snapToGrid w:val="0"/>
                    <w:jc w:val="center"/>
                    <w:rPr>
                      <w:b/>
                      <w:bCs/>
                      <w:color w:val="auto"/>
                      <w:szCs w:val="21"/>
                      <w:highlight w:val="none"/>
                    </w:rPr>
                  </w:pPr>
                  <w:r>
                    <w:rPr>
                      <w:rFonts w:hint="eastAsia"/>
                      <w:b/>
                      <w:bCs/>
                      <w:color w:val="auto"/>
                      <w:szCs w:val="21"/>
                      <w:highlight w:val="none"/>
                    </w:rPr>
                    <w:t>北厂界</w:t>
                  </w:r>
                </w:p>
              </w:tc>
            </w:tr>
            <w:tr w14:paraId="098526E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pct"/>
                  <w:tcBorders>
                    <w:top w:val="single" w:color="auto" w:sz="8" w:space="0"/>
                    <w:bottom w:val="single" w:color="auto" w:sz="4" w:space="0"/>
                    <w:right w:val="single" w:color="auto" w:sz="4" w:space="0"/>
                  </w:tcBorders>
                  <w:noWrap w:val="0"/>
                  <w:vAlign w:val="center"/>
                </w:tcPr>
                <w:p w14:paraId="59F0A1BC">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kern w:val="0"/>
                      <w:szCs w:val="21"/>
                      <w:lang w:val="en-US" w:eastAsia="zh-CN"/>
                    </w:rPr>
                    <w:t>1#生产车间</w:t>
                  </w:r>
                  <w:r>
                    <w:rPr>
                      <w:rFonts w:hint="default" w:ascii="Times New Roman" w:hAnsi="Times New Roman" w:cs="Times New Roman"/>
                      <w:bCs/>
                      <w:color w:val="auto"/>
                      <w:kern w:val="0"/>
                      <w:szCs w:val="21"/>
                    </w:rPr>
                    <w:t>与</w:t>
                  </w:r>
                  <w:r>
                    <w:rPr>
                      <w:rFonts w:hint="eastAsia" w:ascii="Times New Roman" w:hAnsi="Times New Roman" w:cs="Times New Roman"/>
                      <w:bCs/>
                      <w:color w:val="auto"/>
                      <w:kern w:val="0"/>
                      <w:szCs w:val="21"/>
                      <w:lang w:val="en-US" w:eastAsia="zh-CN"/>
                    </w:rPr>
                    <w:t>四周</w:t>
                  </w:r>
                  <w:r>
                    <w:rPr>
                      <w:rFonts w:hint="default" w:ascii="Times New Roman" w:hAnsi="Times New Roman" w:cs="Times New Roman"/>
                      <w:bCs/>
                      <w:color w:val="auto"/>
                      <w:kern w:val="0"/>
                      <w:szCs w:val="21"/>
                    </w:rPr>
                    <w:t>厂界距离（m）</w:t>
                  </w:r>
                </w:p>
              </w:tc>
              <w:tc>
                <w:tcPr>
                  <w:tcW w:w="1058" w:type="pct"/>
                  <w:tcBorders>
                    <w:top w:val="single" w:color="auto" w:sz="8" w:space="0"/>
                    <w:left w:val="single" w:color="auto" w:sz="4" w:space="0"/>
                    <w:bottom w:val="single" w:color="auto" w:sz="4" w:space="0"/>
                    <w:right w:val="single" w:color="auto" w:sz="4" w:space="0"/>
                  </w:tcBorders>
                  <w:noWrap w:val="0"/>
                  <w:vAlign w:val="center"/>
                </w:tcPr>
                <w:p w14:paraId="240A0E39">
                  <w:pPr>
                    <w:adjustRightInd w:val="0"/>
                    <w:snapToGrid w:val="0"/>
                    <w:jc w:val="center"/>
                    <w:rPr>
                      <w:rFonts w:hint="default" w:eastAsia="宋体"/>
                      <w:bCs/>
                      <w:color w:val="auto"/>
                      <w:szCs w:val="21"/>
                      <w:lang w:val="en-US" w:eastAsia="zh-CN"/>
                    </w:rPr>
                  </w:pPr>
                  <w:r>
                    <w:rPr>
                      <w:rFonts w:hint="eastAsia"/>
                      <w:bCs/>
                      <w:color w:val="auto"/>
                      <w:szCs w:val="21"/>
                      <w:lang w:val="en-US" w:eastAsia="zh-CN"/>
                    </w:rPr>
                    <w:t>10</w:t>
                  </w:r>
                </w:p>
              </w:tc>
              <w:tc>
                <w:tcPr>
                  <w:tcW w:w="981" w:type="pct"/>
                  <w:tcBorders>
                    <w:top w:val="single" w:color="auto" w:sz="8" w:space="0"/>
                    <w:left w:val="single" w:color="auto" w:sz="4" w:space="0"/>
                    <w:bottom w:val="single" w:color="auto" w:sz="4" w:space="0"/>
                    <w:right w:val="single" w:color="auto" w:sz="4" w:space="0"/>
                  </w:tcBorders>
                  <w:noWrap w:val="0"/>
                  <w:vAlign w:val="center"/>
                </w:tcPr>
                <w:p w14:paraId="08D56DFA">
                  <w:pPr>
                    <w:adjustRightInd w:val="0"/>
                    <w:snapToGrid w:val="0"/>
                    <w:jc w:val="center"/>
                    <w:rPr>
                      <w:rFonts w:hint="default" w:eastAsia="宋体"/>
                      <w:bCs/>
                      <w:color w:val="auto"/>
                      <w:szCs w:val="21"/>
                      <w:lang w:val="en-US" w:eastAsia="zh-CN"/>
                    </w:rPr>
                  </w:pPr>
                  <w:r>
                    <w:rPr>
                      <w:rFonts w:hint="eastAsia"/>
                      <w:bCs/>
                      <w:color w:val="auto"/>
                      <w:szCs w:val="21"/>
                      <w:lang w:val="en-US" w:eastAsia="zh-CN"/>
                    </w:rPr>
                    <w:t>14</w:t>
                  </w:r>
                </w:p>
              </w:tc>
              <w:tc>
                <w:tcPr>
                  <w:tcW w:w="861" w:type="pct"/>
                  <w:tcBorders>
                    <w:top w:val="single" w:color="auto" w:sz="8" w:space="0"/>
                    <w:left w:val="single" w:color="auto" w:sz="4" w:space="0"/>
                    <w:bottom w:val="single" w:color="auto" w:sz="4" w:space="0"/>
                    <w:right w:val="single" w:color="auto" w:sz="4" w:space="0"/>
                  </w:tcBorders>
                  <w:noWrap w:val="0"/>
                  <w:vAlign w:val="center"/>
                </w:tcPr>
                <w:p w14:paraId="0F1A7B84">
                  <w:pPr>
                    <w:adjustRightInd w:val="0"/>
                    <w:snapToGrid w:val="0"/>
                    <w:jc w:val="center"/>
                    <w:rPr>
                      <w:rFonts w:hint="default" w:eastAsia="宋体"/>
                      <w:bCs/>
                      <w:color w:val="auto"/>
                      <w:szCs w:val="21"/>
                      <w:lang w:val="en-US" w:eastAsia="zh-CN"/>
                    </w:rPr>
                  </w:pPr>
                  <w:r>
                    <w:rPr>
                      <w:rFonts w:hint="eastAsia"/>
                      <w:bCs/>
                      <w:color w:val="auto"/>
                      <w:szCs w:val="21"/>
                      <w:lang w:val="en-US" w:eastAsia="zh-CN"/>
                    </w:rPr>
                    <w:t>10</w:t>
                  </w:r>
                </w:p>
              </w:tc>
              <w:tc>
                <w:tcPr>
                  <w:tcW w:w="861" w:type="pct"/>
                  <w:tcBorders>
                    <w:top w:val="single" w:color="auto" w:sz="8" w:space="0"/>
                    <w:left w:val="single" w:color="auto" w:sz="4" w:space="0"/>
                    <w:bottom w:val="single" w:color="auto" w:sz="4" w:space="0"/>
                  </w:tcBorders>
                  <w:noWrap w:val="0"/>
                  <w:vAlign w:val="center"/>
                </w:tcPr>
                <w:p w14:paraId="6C36D5AF">
                  <w:pPr>
                    <w:adjustRightInd w:val="0"/>
                    <w:snapToGrid w:val="0"/>
                    <w:jc w:val="center"/>
                    <w:rPr>
                      <w:rFonts w:hint="default" w:eastAsia="宋体"/>
                      <w:bCs/>
                      <w:color w:val="auto"/>
                      <w:szCs w:val="21"/>
                      <w:lang w:val="en-US" w:eastAsia="zh-CN"/>
                    </w:rPr>
                  </w:pPr>
                  <w:r>
                    <w:rPr>
                      <w:rFonts w:hint="eastAsia"/>
                      <w:bCs/>
                      <w:color w:val="auto"/>
                      <w:szCs w:val="21"/>
                      <w:lang w:val="en-US" w:eastAsia="zh-CN"/>
                    </w:rPr>
                    <w:t>19</w:t>
                  </w:r>
                </w:p>
              </w:tc>
            </w:tr>
            <w:tr w14:paraId="02F69AE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pct"/>
                  <w:tcBorders>
                    <w:top w:val="single" w:color="auto" w:sz="4" w:space="0"/>
                    <w:bottom w:val="single" w:color="auto" w:sz="4" w:space="0"/>
                    <w:right w:val="single" w:color="auto" w:sz="4" w:space="0"/>
                  </w:tcBorders>
                  <w:noWrap w:val="0"/>
                  <w:vAlign w:val="center"/>
                </w:tcPr>
                <w:p w14:paraId="11E2CBEA">
                  <w:pPr>
                    <w:adjustRightInd w:val="0"/>
                    <w:snapToGrid w:val="0"/>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cs="Times New Roman"/>
                      <w:bCs/>
                      <w:color w:val="auto"/>
                      <w:kern w:val="0"/>
                      <w:szCs w:val="21"/>
                      <w:lang w:val="en-US" w:eastAsia="zh-CN"/>
                    </w:rPr>
                    <w:t>1#生产车间贡献值</w:t>
                  </w:r>
                </w:p>
              </w:tc>
              <w:tc>
                <w:tcPr>
                  <w:tcW w:w="1058" w:type="pct"/>
                  <w:tcBorders>
                    <w:top w:val="single" w:color="auto" w:sz="4" w:space="0"/>
                    <w:left w:val="single" w:color="auto" w:sz="4" w:space="0"/>
                    <w:bottom w:val="single" w:color="auto" w:sz="4" w:space="0"/>
                    <w:right w:val="single" w:color="auto" w:sz="4" w:space="0"/>
                  </w:tcBorders>
                  <w:noWrap w:val="0"/>
                  <w:vAlign w:val="center"/>
                </w:tcPr>
                <w:p w14:paraId="079DE33B">
                  <w:pPr>
                    <w:adjustRightInd w:val="0"/>
                    <w:snapToGrid w:val="0"/>
                    <w:jc w:val="center"/>
                    <w:rPr>
                      <w:rFonts w:hint="default" w:eastAsia="宋体"/>
                      <w:bCs/>
                      <w:color w:val="auto"/>
                      <w:szCs w:val="21"/>
                      <w:lang w:val="en-US" w:eastAsia="zh-CN"/>
                    </w:rPr>
                  </w:pPr>
                  <w:r>
                    <w:rPr>
                      <w:rFonts w:hint="eastAsia"/>
                      <w:bCs/>
                      <w:color w:val="auto"/>
                      <w:szCs w:val="21"/>
                      <w:lang w:val="en-US" w:eastAsia="zh-CN"/>
                    </w:rPr>
                    <w:t>15.16</w:t>
                  </w:r>
                </w:p>
              </w:tc>
              <w:tc>
                <w:tcPr>
                  <w:tcW w:w="981" w:type="pct"/>
                  <w:tcBorders>
                    <w:top w:val="single" w:color="auto" w:sz="4" w:space="0"/>
                    <w:left w:val="single" w:color="auto" w:sz="4" w:space="0"/>
                    <w:bottom w:val="single" w:color="auto" w:sz="4" w:space="0"/>
                    <w:right w:val="single" w:color="auto" w:sz="4" w:space="0"/>
                  </w:tcBorders>
                  <w:noWrap w:val="0"/>
                  <w:vAlign w:val="center"/>
                </w:tcPr>
                <w:p w14:paraId="7F751CF4">
                  <w:pPr>
                    <w:adjustRightInd w:val="0"/>
                    <w:snapToGrid w:val="0"/>
                    <w:jc w:val="center"/>
                    <w:rPr>
                      <w:rFonts w:hint="default" w:eastAsia="宋体"/>
                      <w:bCs/>
                      <w:color w:val="auto"/>
                      <w:szCs w:val="21"/>
                      <w:lang w:val="en-US" w:eastAsia="zh-CN"/>
                    </w:rPr>
                  </w:pPr>
                  <w:r>
                    <w:rPr>
                      <w:rFonts w:hint="eastAsia"/>
                      <w:bCs/>
                      <w:color w:val="auto"/>
                      <w:szCs w:val="21"/>
                      <w:lang w:val="en-US" w:eastAsia="zh-CN"/>
                    </w:rPr>
                    <w:t>12.24</w:t>
                  </w:r>
                </w:p>
              </w:tc>
              <w:tc>
                <w:tcPr>
                  <w:tcW w:w="861" w:type="pct"/>
                  <w:tcBorders>
                    <w:top w:val="single" w:color="auto" w:sz="4" w:space="0"/>
                    <w:left w:val="single" w:color="auto" w:sz="4" w:space="0"/>
                    <w:bottom w:val="single" w:color="auto" w:sz="4" w:space="0"/>
                    <w:right w:val="single" w:color="auto" w:sz="4" w:space="0"/>
                  </w:tcBorders>
                  <w:noWrap w:val="0"/>
                  <w:vAlign w:val="center"/>
                </w:tcPr>
                <w:p w14:paraId="10FD2E78">
                  <w:pPr>
                    <w:adjustRightInd w:val="0"/>
                    <w:snapToGrid w:val="0"/>
                    <w:jc w:val="center"/>
                    <w:rPr>
                      <w:rFonts w:hint="default" w:eastAsia="宋体"/>
                      <w:bCs/>
                      <w:color w:val="auto"/>
                      <w:szCs w:val="21"/>
                      <w:lang w:val="en-US" w:eastAsia="zh-CN"/>
                    </w:rPr>
                  </w:pPr>
                  <w:r>
                    <w:rPr>
                      <w:rFonts w:hint="eastAsia"/>
                      <w:bCs/>
                      <w:color w:val="auto"/>
                      <w:szCs w:val="21"/>
                      <w:lang w:val="en-US" w:eastAsia="zh-CN"/>
                    </w:rPr>
                    <w:t>15.16</w:t>
                  </w:r>
                </w:p>
              </w:tc>
              <w:tc>
                <w:tcPr>
                  <w:tcW w:w="861" w:type="pct"/>
                  <w:tcBorders>
                    <w:top w:val="single" w:color="auto" w:sz="4" w:space="0"/>
                    <w:left w:val="single" w:color="auto" w:sz="4" w:space="0"/>
                    <w:bottom w:val="single" w:color="auto" w:sz="4" w:space="0"/>
                  </w:tcBorders>
                  <w:noWrap w:val="0"/>
                  <w:vAlign w:val="center"/>
                </w:tcPr>
                <w:p w14:paraId="1140D6AE">
                  <w:pPr>
                    <w:adjustRightInd w:val="0"/>
                    <w:snapToGrid w:val="0"/>
                    <w:jc w:val="center"/>
                    <w:rPr>
                      <w:rFonts w:hint="default" w:eastAsia="宋体"/>
                      <w:bCs/>
                      <w:color w:val="auto"/>
                      <w:szCs w:val="21"/>
                      <w:lang w:val="en-US" w:eastAsia="zh-CN"/>
                    </w:rPr>
                  </w:pPr>
                  <w:r>
                    <w:rPr>
                      <w:rFonts w:hint="eastAsia"/>
                      <w:bCs/>
                      <w:color w:val="auto"/>
                      <w:szCs w:val="21"/>
                      <w:lang w:val="en-US" w:eastAsia="zh-CN"/>
                    </w:rPr>
                    <w:t>9.58</w:t>
                  </w:r>
                </w:p>
              </w:tc>
            </w:tr>
            <w:tr w14:paraId="22812D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pct"/>
                  <w:tcBorders>
                    <w:top w:val="single" w:color="auto" w:sz="4" w:space="0"/>
                    <w:right w:val="single" w:color="auto" w:sz="4" w:space="0"/>
                  </w:tcBorders>
                  <w:noWrap w:val="0"/>
                  <w:vAlign w:val="center"/>
                </w:tcPr>
                <w:p w14:paraId="76F11B4A">
                  <w:pPr>
                    <w:adjustRightInd w:val="0"/>
                    <w:snapToGrid w:val="0"/>
                    <w:jc w:val="center"/>
                    <w:rPr>
                      <w:rFonts w:hint="default" w:ascii="Times New Roman" w:hAnsi="Times New Roman" w:cs="Times New Roman"/>
                      <w:bCs/>
                      <w:color w:val="auto"/>
                      <w:kern w:val="0"/>
                      <w:szCs w:val="21"/>
                      <w:lang w:val="en-US" w:eastAsia="zh-CN"/>
                    </w:rPr>
                  </w:pPr>
                  <w:r>
                    <w:rPr>
                      <w:rFonts w:hint="eastAsia" w:ascii="Times New Roman" w:hAnsi="Times New Roman" w:cs="Times New Roman"/>
                      <w:bCs/>
                      <w:color w:val="auto"/>
                      <w:kern w:val="0"/>
                      <w:szCs w:val="21"/>
                      <w:lang w:val="en-US" w:eastAsia="zh-CN"/>
                    </w:rPr>
                    <w:t>2</w:t>
                  </w:r>
                  <w:r>
                    <w:rPr>
                      <w:rFonts w:hint="default" w:ascii="Times New Roman" w:hAnsi="Times New Roman" w:cs="Times New Roman"/>
                      <w:bCs/>
                      <w:color w:val="auto"/>
                      <w:kern w:val="0"/>
                      <w:szCs w:val="21"/>
                      <w:lang w:val="en-US" w:eastAsia="zh-CN"/>
                    </w:rPr>
                    <w:t>#生产车间</w:t>
                  </w:r>
                  <w:r>
                    <w:rPr>
                      <w:rFonts w:hint="default" w:ascii="Times New Roman" w:hAnsi="Times New Roman" w:cs="Times New Roman"/>
                      <w:bCs/>
                      <w:color w:val="auto"/>
                      <w:kern w:val="0"/>
                      <w:szCs w:val="21"/>
                    </w:rPr>
                    <w:t>与</w:t>
                  </w:r>
                  <w:r>
                    <w:rPr>
                      <w:rFonts w:hint="eastAsia" w:ascii="Times New Roman" w:hAnsi="Times New Roman" w:cs="Times New Roman"/>
                      <w:bCs/>
                      <w:color w:val="auto"/>
                      <w:kern w:val="0"/>
                      <w:szCs w:val="21"/>
                      <w:lang w:val="en-US" w:eastAsia="zh-CN"/>
                    </w:rPr>
                    <w:t>四周</w:t>
                  </w:r>
                  <w:r>
                    <w:rPr>
                      <w:rFonts w:hint="default" w:ascii="Times New Roman" w:hAnsi="Times New Roman" w:cs="Times New Roman"/>
                      <w:bCs/>
                      <w:color w:val="auto"/>
                      <w:kern w:val="0"/>
                      <w:szCs w:val="21"/>
                    </w:rPr>
                    <w:t>厂界距离（m）</w:t>
                  </w:r>
                </w:p>
              </w:tc>
              <w:tc>
                <w:tcPr>
                  <w:tcW w:w="1058" w:type="pct"/>
                  <w:tcBorders>
                    <w:top w:val="single" w:color="auto" w:sz="4" w:space="0"/>
                    <w:left w:val="single" w:color="auto" w:sz="4" w:space="0"/>
                    <w:right w:val="single" w:color="auto" w:sz="4" w:space="0"/>
                  </w:tcBorders>
                  <w:noWrap w:val="0"/>
                  <w:vAlign w:val="center"/>
                </w:tcPr>
                <w:p w14:paraId="24D0A6FF">
                  <w:pPr>
                    <w:adjustRightInd w:val="0"/>
                    <w:snapToGrid w:val="0"/>
                    <w:jc w:val="center"/>
                    <w:rPr>
                      <w:rFonts w:hint="default" w:eastAsia="宋体"/>
                      <w:bCs/>
                      <w:color w:val="auto"/>
                      <w:szCs w:val="21"/>
                      <w:lang w:val="en-US" w:eastAsia="zh-CN"/>
                    </w:rPr>
                  </w:pPr>
                  <w:r>
                    <w:rPr>
                      <w:rFonts w:hint="eastAsia"/>
                      <w:bCs/>
                      <w:color w:val="auto"/>
                      <w:szCs w:val="21"/>
                      <w:lang w:val="en-US" w:eastAsia="zh-CN"/>
                    </w:rPr>
                    <w:t>1</w:t>
                  </w:r>
                </w:p>
              </w:tc>
              <w:tc>
                <w:tcPr>
                  <w:tcW w:w="981" w:type="pct"/>
                  <w:tcBorders>
                    <w:top w:val="single" w:color="auto" w:sz="4" w:space="0"/>
                    <w:left w:val="single" w:color="auto" w:sz="4" w:space="0"/>
                    <w:right w:val="single" w:color="auto" w:sz="4" w:space="0"/>
                  </w:tcBorders>
                  <w:noWrap w:val="0"/>
                  <w:vAlign w:val="center"/>
                </w:tcPr>
                <w:p w14:paraId="0D6B59D8">
                  <w:pPr>
                    <w:adjustRightInd w:val="0"/>
                    <w:snapToGrid w:val="0"/>
                    <w:jc w:val="center"/>
                    <w:rPr>
                      <w:rFonts w:hint="default" w:eastAsia="宋体"/>
                      <w:bCs/>
                      <w:color w:val="auto"/>
                      <w:szCs w:val="21"/>
                      <w:lang w:val="en-US" w:eastAsia="zh-CN"/>
                    </w:rPr>
                  </w:pPr>
                  <w:r>
                    <w:rPr>
                      <w:rFonts w:hint="eastAsia"/>
                      <w:bCs/>
                      <w:color w:val="auto"/>
                      <w:szCs w:val="21"/>
                      <w:lang w:val="en-US" w:eastAsia="zh-CN"/>
                    </w:rPr>
                    <w:t>21</w:t>
                  </w:r>
                </w:p>
              </w:tc>
              <w:tc>
                <w:tcPr>
                  <w:tcW w:w="861" w:type="pct"/>
                  <w:tcBorders>
                    <w:top w:val="single" w:color="auto" w:sz="4" w:space="0"/>
                    <w:left w:val="single" w:color="auto" w:sz="4" w:space="0"/>
                    <w:right w:val="single" w:color="auto" w:sz="4" w:space="0"/>
                  </w:tcBorders>
                  <w:noWrap w:val="0"/>
                  <w:vAlign w:val="center"/>
                </w:tcPr>
                <w:p w14:paraId="76659484">
                  <w:pPr>
                    <w:adjustRightInd w:val="0"/>
                    <w:snapToGrid w:val="0"/>
                    <w:jc w:val="center"/>
                    <w:rPr>
                      <w:rFonts w:hint="default" w:eastAsia="宋体"/>
                      <w:bCs/>
                      <w:color w:val="auto"/>
                      <w:szCs w:val="21"/>
                      <w:lang w:val="en-US" w:eastAsia="zh-CN"/>
                    </w:rPr>
                  </w:pPr>
                  <w:r>
                    <w:rPr>
                      <w:rFonts w:hint="eastAsia"/>
                      <w:bCs/>
                      <w:color w:val="auto"/>
                      <w:szCs w:val="21"/>
                      <w:lang w:val="en-US" w:eastAsia="zh-CN"/>
                    </w:rPr>
                    <w:t>1</w:t>
                  </w:r>
                </w:p>
              </w:tc>
              <w:tc>
                <w:tcPr>
                  <w:tcW w:w="861" w:type="pct"/>
                  <w:tcBorders>
                    <w:top w:val="single" w:color="auto" w:sz="4" w:space="0"/>
                    <w:left w:val="single" w:color="auto" w:sz="4" w:space="0"/>
                  </w:tcBorders>
                  <w:noWrap w:val="0"/>
                  <w:vAlign w:val="center"/>
                </w:tcPr>
                <w:p w14:paraId="583C0883">
                  <w:pPr>
                    <w:adjustRightInd w:val="0"/>
                    <w:snapToGrid w:val="0"/>
                    <w:jc w:val="center"/>
                    <w:rPr>
                      <w:rFonts w:hint="default" w:eastAsia="宋体"/>
                      <w:bCs/>
                      <w:color w:val="auto"/>
                      <w:szCs w:val="21"/>
                      <w:lang w:val="en-US" w:eastAsia="zh-CN"/>
                    </w:rPr>
                  </w:pPr>
                  <w:r>
                    <w:rPr>
                      <w:rFonts w:hint="eastAsia"/>
                      <w:bCs/>
                      <w:color w:val="auto"/>
                      <w:szCs w:val="21"/>
                      <w:lang w:val="en-US" w:eastAsia="zh-CN"/>
                    </w:rPr>
                    <w:t>5</w:t>
                  </w:r>
                </w:p>
              </w:tc>
            </w:tr>
            <w:tr w14:paraId="1567F4F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pct"/>
                  <w:noWrap w:val="0"/>
                  <w:vAlign w:val="center"/>
                </w:tcPr>
                <w:p w14:paraId="7E5CF271">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kern w:val="0"/>
                      <w:szCs w:val="21"/>
                      <w:lang w:val="en-US" w:eastAsia="zh-CN"/>
                    </w:rPr>
                    <w:t>2#生产车间贡献值</w:t>
                  </w:r>
                </w:p>
              </w:tc>
              <w:tc>
                <w:tcPr>
                  <w:tcW w:w="1058" w:type="pct"/>
                  <w:noWrap w:val="0"/>
                  <w:vAlign w:val="center"/>
                </w:tcPr>
                <w:p w14:paraId="2AEA17FC">
                  <w:pPr>
                    <w:adjustRightInd w:val="0"/>
                    <w:snapToGrid w:val="0"/>
                    <w:jc w:val="center"/>
                    <w:rPr>
                      <w:rFonts w:hint="default" w:eastAsia="宋体"/>
                      <w:bCs/>
                      <w:color w:val="auto"/>
                      <w:szCs w:val="21"/>
                      <w:lang w:val="en-US" w:eastAsia="zh-CN"/>
                    </w:rPr>
                  </w:pPr>
                  <w:r>
                    <w:rPr>
                      <w:rFonts w:hint="eastAsia"/>
                      <w:bCs/>
                      <w:color w:val="auto"/>
                      <w:szCs w:val="21"/>
                      <w:lang w:val="en-US" w:eastAsia="zh-CN"/>
                    </w:rPr>
                    <w:t>34.19</w:t>
                  </w:r>
                </w:p>
              </w:tc>
              <w:tc>
                <w:tcPr>
                  <w:tcW w:w="981" w:type="pct"/>
                  <w:noWrap w:val="0"/>
                  <w:vAlign w:val="center"/>
                </w:tcPr>
                <w:p w14:paraId="04211FAB">
                  <w:pPr>
                    <w:jc w:val="center"/>
                    <w:rPr>
                      <w:rFonts w:hint="default" w:eastAsia="宋体"/>
                      <w:bCs/>
                      <w:color w:val="auto"/>
                      <w:lang w:val="en-US" w:eastAsia="zh-CN"/>
                    </w:rPr>
                  </w:pPr>
                  <w:r>
                    <w:rPr>
                      <w:rFonts w:hint="eastAsia"/>
                      <w:bCs/>
                      <w:color w:val="auto"/>
                      <w:lang w:val="en-US" w:eastAsia="zh-CN"/>
                    </w:rPr>
                    <w:t>7.75</w:t>
                  </w:r>
                </w:p>
              </w:tc>
              <w:tc>
                <w:tcPr>
                  <w:tcW w:w="861" w:type="pct"/>
                  <w:noWrap w:val="0"/>
                  <w:vAlign w:val="center"/>
                </w:tcPr>
                <w:p w14:paraId="1D3F1B20">
                  <w:pPr>
                    <w:jc w:val="center"/>
                    <w:rPr>
                      <w:rFonts w:hint="default" w:eastAsia="宋体"/>
                      <w:bCs/>
                      <w:color w:val="auto"/>
                      <w:lang w:val="en-US" w:eastAsia="zh-CN"/>
                    </w:rPr>
                  </w:pPr>
                  <w:r>
                    <w:rPr>
                      <w:rFonts w:hint="eastAsia"/>
                      <w:bCs/>
                      <w:color w:val="auto"/>
                      <w:lang w:val="en-US" w:eastAsia="zh-CN"/>
                    </w:rPr>
                    <w:t>34.19</w:t>
                  </w:r>
                </w:p>
              </w:tc>
              <w:tc>
                <w:tcPr>
                  <w:tcW w:w="861" w:type="pct"/>
                  <w:noWrap w:val="0"/>
                  <w:vAlign w:val="center"/>
                </w:tcPr>
                <w:p w14:paraId="2AE8F322">
                  <w:pPr>
                    <w:jc w:val="center"/>
                    <w:rPr>
                      <w:rFonts w:hint="default"/>
                      <w:color w:val="auto"/>
                      <w:lang w:val="en-US" w:eastAsia="zh-CN"/>
                    </w:rPr>
                  </w:pPr>
                  <w:r>
                    <w:rPr>
                      <w:rFonts w:hint="eastAsia"/>
                      <w:color w:val="auto"/>
                      <w:lang w:val="en-US" w:eastAsia="zh-CN"/>
                    </w:rPr>
                    <w:t>20.21</w:t>
                  </w:r>
                </w:p>
              </w:tc>
            </w:tr>
            <w:tr w14:paraId="7A8ABE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pct"/>
                  <w:noWrap w:val="0"/>
                  <w:vAlign w:val="center"/>
                </w:tcPr>
                <w:p w14:paraId="5E7C127B">
                  <w:pPr>
                    <w:adjustRightInd w:val="0"/>
                    <w:snapToGrid w:val="0"/>
                    <w:jc w:val="center"/>
                    <w:rPr>
                      <w:rFonts w:hint="default" w:ascii="Times New Roman" w:hAnsi="Times New Roman" w:cs="Times New Roman"/>
                      <w:bCs/>
                      <w:color w:val="auto"/>
                      <w:kern w:val="0"/>
                      <w:szCs w:val="21"/>
                      <w:lang w:val="en-US" w:eastAsia="zh-CN"/>
                    </w:rPr>
                  </w:pPr>
                  <w:r>
                    <w:rPr>
                      <w:rFonts w:hint="eastAsia" w:ascii="Times New Roman" w:hAnsi="Times New Roman" w:cs="Times New Roman"/>
                      <w:bCs/>
                      <w:color w:val="auto"/>
                      <w:kern w:val="0"/>
                      <w:szCs w:val="21"/>
                      <w:lang w:val="en-US" w:eastAsia="zh-CN"/>
                    </w:rPr>
                    <w:t>叠加值/dB（A）</w:t>
                  </w:r>
                </w:p>
              </w:tc>
              <w:tc>
                <w:tcPr>
                  <w:tcW w:w="1058" w:type="pct"/>
                  <w:noWrap w:val="0"/>
                  <w:vAlign w:val="center"/>
                </w:tcPr>
                <w:p w14:paraId="6A1B5F24">
                  <w:pPr>
                    <w:adjustRightInd w:val="0"/>
                    <w:snapToGrid w:val="0"/>
                    <w:jc w:val="center"/>
                    <w:rPr>
                      <w:rFonts w:hint="default" w:eastAsia="宋体"/>
                      <w:bCs/>
                      <w:color w:val="auto"/>
                      <w:szCs w:val="21"/>
                      <w:lang w:val="en-US" w:eastAsia="zh-CN"/>
                    </w:rPr>
                  </w:pPr>
                  <w:r>
                    <w:rPr>
                      <w:rFonts w:hint="eastAsia"/>
                      <w:bCs/>
                      <w:color w:val="auto"/>
                      <w:szCs w:val="21"/>
                      <w:lang w:val="en-US" w:eastAsia="zh-CN"/>
                    </w:rPr>
                    <w:t>34.24</w:t>
                  </w:r>
                </w:p>
              </w:tc>
              <w:tc>
                <w:tcPr>
                  <w:tcW w:w="981" w:type="pct"/>
                  <w:noWrap w:val="0"/>
                  <w:vAlign w:val="center"/>
                </w:tcPr>
                <w:p w14:paraId="275793DF">
                  <w:pPr>
                    <w:jc w:val="center"/>
                    <w:rPr>
                      <w:rFonts w:hint="default" w:eastAsia="宋体"/>
                      <w:bCs/>
                      <w:color w:val="auto"/>
                      <w:lang w:val="en-US" w:eastAsia="zh-CN"/>
                    </w:rPr>
                  </w:pPr>
                  <w:r>
                    <w:rPr>
                      <w:rFonts w:hint="eastAsia"/>
                      <w:bCs/>
                      <w:color w:val="auto"/>
                      <w:lang w:val="en-US" w:eastAsia="zh-CN"/>
                    </w:rPr>
                    <w:t>13.56</w:t>
                  </w:r>
                </w:p>
              </w:tc>
              <w:tc>
                <w:tcPr>
                  <w:tcW w:w="861" w:type="pct"/>
                  <w:noWrap w:val="0"/>
                  <w:vAlign w:val="center"/>
                </w:tcPr>
                <w:p w14:paraId="2F70E27A">
                  <w:pPr>
                    <w:jc w:val="center"/>
                    <w:rPr>
                      <w:rFonts w:hint="default" w:eastAsia="宋体"/>
                      <w:bCs/>
                      <w:color w:val="auto"/>
                      <w:lang w:val="en-US" w:eastAsia="zh-CN"/>
                    </w:rPr>
                  </w:pPr>
                  <w:r>
                    <w:rPr>
                      <w:rFonts w:hint="eastAsia"/>
                      <w:bCs/>
                      <w:color w:val="auto"/>
                      <w:lang w:val="en-US" w:eastAsia="zh-CN"/>
                    </w:rPr>
                    <w:t>34.24</w:t>
                  </w:r>
                </w:p>
              </w:tc>
              <w:tc>
                <w:tcPr>
                  <w:tcW w:w="861" w:type="pct"/>
                  <w:noWrap w:val="0"/>
                  <w:vAlign w:val="center"/>
                </w:tcPr>
                <w:p w14:paraId="1D369F09">
                  <w:pPr>
                    <w:jc w:val="center"/>
                    <w:rPr>
                      <w:rFonts w:hint="default"/>
                      <w:color w:val="auto"/>
                      <w:lang w:val="en-US" w:eastAsia="zh-CN"/>
                    </w:rPr>
                  </w:pPr>
                  <w:r>
                    <w:rPr>
                      <w:rFonts w:hint="eastAsia"/>
                      <w:color w:val="auto"/>
                      <w:lang w:val="en-US" w:eastAsia="zh-CN"/>
                    </w:rPr>
                    <w:t>20.57</w:t>
                  </w:r>
                </w:p>
              </w:tc>
            </w:tr>
            <w:tr w14:paraId="6D473E7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237" w:type="pct"/>
                  <w:noWrap w:val="0"/>
                  <w:vAlign w:val="center"/>
                </w:tcPr>
                <w:p w14:paraId="536B7AA1">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kern w:val="0"/>
                      <w:szCs w:val="21"/>
                    </w:rPr>
                    <w:t>达标情况</w:t>
                  </w:r>
                </w:p>
              </w:tc>
              <w:tc>
                <w:tcPr>
                  <w:tcW w:w="1058" w:type="pct"/>
                  <w:noWrap w:val="0"/>
                  <w:vAlign w:val="center"/>
                </w:tcPr>
                <w:p w14:paraId="4AE59C84">
                  <w:pPr>
                    <w:adjustRightInd w:val="0"/>
                    <w:snapToGrid w:val="0"/>
                    <w:jc w:val="center"/>
                    <w:rPr>
                      <w:bCs/>
                      <w:color w:val="auto"/>
                      <w:szCs w:val="21"/>
                    </w:rPr>
                  </w:pPr>
                  <w:r>
                    <w:rPr>
                      <w:rFonts w:hint="eastAsia"/>
                      <w:bCs/>
                      <w:color w:val="auto"/>
                      <w:szCs w:val="21"/>
                    </w:rPr>
                    <w:t>达标</w:t>
                  </w:r>
                </w:p>
              </w:tc>
              <w:tc>
                <w:tcPr>
                  <w:tcW w:w="981" w:type="pct"/>
                  <w:noWrap w:val="0"/>
                  <w:vAlign w:val="center"/>
                </w:tcPr>
                <w:p w14:paraId="712973CE">
                  <w:pPr>
                    <w:adjustRightInd w:val="0"/>
                    <w:snapToGrid w:val="0"/>
                    <w:jc w:val="center"/>
                    <w:rPr>
                      <w:rFonts w:hint="eastAsia"/>
                      <w:bCs/>
                      <w:color w:val="auto"/>
                      <w:szCs w:val="21"/>
                    </w:rPr>
                  </w:pPr>
                  <w:r>
                    <w:rPr>
                      <w:rFonts w:hint="eastAsia"/>
                      <w:bCs/>
                      <w:color w:val="auto"/>
                      <w:szCs w:val="21"/>
                    </w:rPr>
                    <w:t>达标</w:t>
                  </w:r>
                </w:p>
              </w:tc>
              <w:tc>
                <w:tcPr>
                  <w:tcW w:w="861" w:type="pct"/>
                  <w:noWrap w:val="0"/>
                  <w:vAlign w:val="center"/>
                </w:tcPr>
                <w:p w14:paraId="17AB2FF9">
                  <w:pPr>
                    <w:adjustRightInd w:val="0"/>
                    <w:snapToGrid w:val="0"/>
                    <w:jc w:val="center"/>
                    <w:rPr>
                      <w:bCs/>
                      <w:color w:val="auto"/>
                      <w:szCs w:val="21"/>
                    </w:rPr>
                  </w:pPr>
                  <w:r>
                    <w:rPr>
                      <w:rFonts w:hint="eastAsia"/>
                      <w:bCs/>
                      <w:color w:val="auto"/>
                      <w:szCs w:val="21"/>
                    </w:rPr>
                    <w:t>达标</w:t>
                  </w:r>
                </w:p>
              </w:tc>
              <w:tc>
                <w:tcPr>
                  <w:tcW w:w="861" w:type="pct"/>
                  <w:noWrap w:val="0"/>
                  <w:vAlign w:val="center"/>
                </w:tcPr>
                <w:p w14:paraId="6735FB56">
                  <w:pPr>
                    <w:adjustRightInd w:val="0"/>
                    <w:snapToGrid w:val="0"/>
                    <w:jc w:val="center"/>
                    <w:rPr>
                      <w:bCs/>
                      <w:color w:val="auto"/>
                      <w:szCs w:val="21"/>
                    </w:rPr>
                  </w:pPr>
                  <w:r>
                    <w:rPr>
                      <w:rFonts w:hint="eastAsia"/>
                      <w:bCs/>
                      <w:color w:val="auto"/>
                      <w:szCs w:val="21"/>
                    </w:rPr>
                    <w:t>达标</w:t>
                  </w:r>
                </w:p>
              </w:tc>
            </w:tr>
          </w:tbl>
          <w:p w14:paraId="2B24C312">
            <w:pPr>
              <w:spacing w:line="440" w:lineRule="exact"/>
              <w:jc w:val="center"/>
              <w:rPr>
                <w:rFonts w:hint="eastAsia" w:ascii="黑体" w:hAnsi="黑体" w:eastAsia="黑体" w:cs="Times New Roman"/>
                <w:color w:val="auto"/>
                <w:kern w:val="2"/>
                <w:sz w:val="24"/>
                <w:szCs w:val="24"/>
                <w:highlight w:val="none"/>
                <w:lang w:val="en-US" w:eastAsia="zh-CN" w:bidi="ar-SA"/>
              </w:rPr>
            </w:pPr>
            <w:r>
              <w:rPr>
                <w:rFonts w:hint="eastAsia" w:ascii="黑体" w:hAnsi="黑体" w:eastAsia="黑体" w:cs="Times New Roman"/>
                <w:color w:val="auto"/>
                <w:kern w:val="2"/>
                <w:sz w:val="24"/>
                <w:szCs w:val="24"/>
                <w:highlight w:val="none"/>
                <w:lang w:val="en-US" w:eastAsia="zh-CN" w:bidi="ar-SA"/>
              </w:rPr>
              <w:t>表18    声环境保护目标噪声预测结果与达标分析表</w:t>
            </w:r>
          </w:p>
          <w:tbl>
            <w:tblPr>
              <w:tblStyle w:val="17"/>
              <w:tblW w:w="5015"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4"/>
              <w:gridCol w:w="496"/>
              <w:gridCol w:w="1462"/>
              <w:gridCol w:w="950"/>
              <w:gridCol w:w="1513"/>
              <w:gridCol w:w="1437"/>
              <w:gridCol w:w="1464"/>
            </w:tblGrid>
            <w:tr w14:paraId="2927A45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404" w:type="pct"/>
                  <w:vMerge w:val="restart"/>
                  <w:tcBorders>
                    <w:top w:val="single" w:color="auto" w:sz="8" w:space="0"/>
                    <w:bottom w:val="single" w:color="auto" w:sz="4" w:space="0"/>
                  </w:tcBorders>
                  <w:noWrap w:val="0"/>
                  <w:vAlign w:val="center"/>
                </w:tcPr>
                <w:p w14:paraId="68DC1E1E">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eastAsia" w:cstheme="minorBidi"/>
                      <w:b/>
                      <w:color w:val="auto"/>
                      <w:sz w:val="21"/>
                      <w:szCs w:val="24"/>
                      <w:lang w:val="en-US" w:eastAsia="zh-CN"/>
                    </w:rPr>
                  </w:pPr>
                  <w:r>
                    <w:rPr>
                      <w:rFonts w:hint="eastAsia" w:cstheme="minorBidi"/>
                      <w:b/>
                      <w:color w:val="auto"/>
                      <w:sz w:val="21"/>
                      <w:szCs w:val="24"/>
                      <w:lang w:val="en-US" w:eastAsia="zh-CN"/>
                    </w:rPr>
                    <w:t>位置</w:t>
                  </w:r>
                </w:p>
              </w:tc>
              <w:tc>
                <w:tcPr>
                  <w:tcW w:w="311" w:type="pct"/>
                  <w:vMerge w:val="restart"/>
                  <w:tcBorders>
                    <w:top w:val="single" w:color="auto" w:sz="8" w:space="0"/>
                    <w:bottom w:val="single" w:color="auto" w:sz="4" w:space="0"/>
                  </w:tcBorders>
                  <w:noWrap w:val="0"/>
                  <w:vAlign w:val="center"/>
                </w:tcPr>
                <w:p w14:paraId="6451DF03">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eastAsia" w:cstheme="minorBidi"/>
                      <w:b/>
                      <w:color w:val="auto"/>
                      <w:sz w:val="21"/>
                      <w:szCs w:val="24"/>
                      <w:lang w:val="en-US" w:eastAsia="zh-CN"/>
                    </w:rPr>
                  </w:pPr>
                  <w:r>
                    <w:rPr>
                      <w:rFonts w:hint="eastAsia" w:cstheme="minorBidi"/>
                      <w:b/>
                      <w:color w:val="auto"/>
                      <w:sz w:val="21"/>
                      <w:szCs w:val="24"/>
                      <w:lang w:val="en-US" w:eastAsia="zh-CN"/>
                    </w:rPr>
                    <w:t>厂界</w:t>
                  </w:r>
                </w:p>
              </w:tc>
              <w:tc>
                <w:tcPr>
                  <w:tcW w:w="917" w:type="pct"/>
                  <w:tcBorders>
                    <w:top w:val="single" w:color="auto" w:sz="8" w:space="0"/>
                    <w:bottom w:val="single" w:color="auto" w:sz="4" w:space="0"/>
                  </w:tcBorders>
                  <w:noWrap w:val="0"/>
                  <w:vAlign w:val="center"/>
                </w:tcPr>
                <w:p w14:paraId="5662757B">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default" w:cstheme="minorBidi"/>
                      <w:b/>
                      <w:color w:val="auto"/>
                      <w:sz w:val="21"/>
                      <w:szCs w:val="24"/>
                      <w:lang w:val="en-US" w:eastAsia="zh-CN"/>
                    </w:rPr>
                  </w:pPr>
                  <w:r>
                    <w:rPr>
                      <w:rFonts w:hint="eastAsia" w:cstheme="minorBidi"/>
                      <w:b/>
                      <w:color w:val="auto"/>
                      <w:sz w:val="21"/>
                      <w:szCs w:val="24"/>
                      <w:lang w:val="en-US" w:eastAsia="zh-CN"/>
                    </w:rPr>
                    <w:t>噪声标准/dB（A）</w:t>
                  </w:r>
                </w:p>
              </w:tc>
              <w:tc>
                <w:tcPr>
                  <w:tcW w:w="596" w:type="pct"/>
                  <w:vMerge w:val="restart"/>
                  <w:tcBorders>
                    <w:top w:val="single" w:color="auto" w:sz="8" w:space="0"/>
                    <w:bottom w:val="single" w:color="auto" w:sz="4" w:space="0"/>
                  </w:tcBorders>
                  <w:noWrap w:val="0"/>
                  <w:vAlign w:val="center"/>
                </w:tcPr>
                <w:p w14:paraId="7E11ED10">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default" w:cstheme="minorBidi"/>
                      <w:b/>
                      <w:color w:val="auto"/>
                      <w:sz w:val="21"/>
                      <w:szCs w:val="24"/>
                      <w:lang w:val="en-US" w:eastAsia="zh-CN"/>
                    </w:rPr>
                  </w:pPr>
                  <w:r>
                    <w:rPr>
                      <w:rFonts w:hint="eastAsia" w:cstheme="minorBidi"/>
                      <w:b/>
                      <w:color w:val="auto"/>
                      <w:sz w:val="21"/>
                      <w:szCs w:val="24"/>
                      <w:lang w:val="en-US" w:eastAsia="zh-CN"/>
                    </w:rPr>
                    <w:t>噪声贡献值/dB（A）</w:t>
                  </w:r>
                </w:p>
              </w:tc>
              <w:tc>
                <w:tcPr>
                  <w:tcW w:w="949" w:type="pct"/>
                  <w:tcBorders>
                    <w:top w:val="single" w:color="auto" w:sz="8" w:space="0"/>
                    <w:bottom w:val="single" w:color="auto" w:sz="4" w:space="0"/>
                  </w:tcBorders>
                  <w:noWrap w:val="0"/>
                  <w:vAlign w:val="center"/>
                </w:tcPr>
                <w:p w14:paraId="4FFB07E5">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default" w:cstheme="minorBidi"/>
                      <w:b/>
                      <w:color w:val="auto"/>
                      <w:sz w:val="21"/>
                      <w:szCs w:val="24"/>
                      <w:highlight w:val="none"/>
                      <w:lang w:val="en-US" w:eastAsia="zh-CN"/>
                    </w:rPr>
                  </w:pPr>
                  <w:r>
                    <w:rPr>
                      <w:rFonts w:hint="eastAsia" w:cstheme="minorBidi"/>
                      <w:b/>
                      <w:color w:val="auto"/>
                      <w:sz w:val="21"/>
                      <w:szCs w:val="24"/>
                      <w:highlight w:val="none"/>
                      <w:lang w:val="en-US" w:eastAsia="zh-CN"/>
                    </w:rPr>
                    <w:t>噪声背景值/dB（A）</w:t>
                  </w:r>
                </w:p>
              </w:tc>
              <w:tc>
                <w:tcPr>
                  <w:tcW w:w="901" w:type="pct"/>
                  <w:tcBorders>
                    <w:top w:val="single" w:color="auto" w:sz="8" w:space="0"/>
                    <w:bottom w:val="single" w:color="auto" w:sz="4" w:space="0"/>
                  </w:tcBorders>
                  <w:noWrap w:val="0"/>
                  <w:vAlign w:val="center"/>
                </w:tcPr>
                <w:p w14:paraId="7FEFB6FE">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eastAsia" w:cstheme="minorBidi"/>
                      <w:b/>
                      <w:color w:val="auto"/>
                      <w:sz w:val="21"/>
                      <w:szCs w:val="24"/>
                      <w:highlight w:val="none"/>
                    </w:rPr>
                  </w:pPr>
                  <w:r>
                    <w:rPr>
                      <w:rFonts w:hint="eastAsia" w:cstheme="minorBidi"/>
                      <w:b/>
                      <w:color w:val="auto"/>
                      <w:sz w:val="21"/>
                      <w:szCs w:val="24"/>
                      <w:highlight w:val="none"/>
                    </w:rPr>
                    <w:t>噪声叠加值/dB(A)</w:t>
                  </w:r>
                </w:p>
              </w:tc>
              <w:tc>
                <w:tcPr>
                  <w:tcW w:w="918" w:type="pct"/>
                  <w:tcBorders>
                    <w:top w:val="single" w:color="auto" w:sz="8" w:space="0"/>
                    <w:bottom w:val="single" w:color="auto" w:sz="4" w:space="0"/>
                  </w:tcBorders>
                  <w:noWrap w:val="0"/>
                  <w:vAlign w:val="center"/>
                </w:tcPr>
                <w:p w14:paraId="66DCBF4B">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eastAsia" w:cstheme="minorBidi"/>
                      <w:b/>
                      <w:color w:val="auto"/>
                      <w:sz w:val="21"/>
                      <w:szCs w:val="24"/>
                      <w:highlight w:val="none"/>
                    </w:rPr>
                  </w:pPr>
                  <w:r>
                    <w:rPr>
                      <w:rFonts w:hint="eastAsia" w:cstheme="minorBidi"/>
                      <w:b/>
                      <w:color w:val="auto"/>
                      <w:sz w:val="21"/>
                      <w:szCs w:val="24"/>
                      <w:highlight w:val="none"/>
                    </w:rPr>
                    <w:t>超标和达标情况</w:t>
                  </w:r>
                </w:p>
              </w:tc>
            </w:tr>
            <w:tr w14:paraId="36A9CF5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404" w:type="pct"/>
                  <w:vMerge w:val="continue"/>
                  <w:tcBorders>
                    <w:top w:val="single" w:color="auto" w:sz="4" w:space="0"/>
                    <w:bottom w:val="single" w:color="auto" w:sz="8" w:space="0"/>
                  </w:tcBorders>
                  <w:noWrap w:val="0"/>
                  <w:vAlign w:val="center"/>
                </w:tcPr>
                <w:p w14:paraId="7B9DAE14">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default" w:cstheme="minorBidi"/>
                      <w:b/>
                      <w:color w:val="auto"/>
                      <w:sz w:val="21"/>
                      <w:szCs w:val="24"/>
                      <w:lang w:val="en-US" w:eastAsia="zh-CN"/>
                    </w:rPr>
                  </w:pPr>
                </w:p>
              </w:tc>
              <w:tc>
                <w:tcPr>
                  <w:tcW w:w="311" w:type="pct"/>
                  <w:vMerge w:val="continue"/>
                  <w:tcBorders>
                    <w:top w:val="single" w:color="auto" w:sz="4" w:space="0"/>
                    <w:bottom w:val="single" w:color="auto" w:sz="8" w:space="0"/>
                  </w:tcBorders>
                  <w:noWrap w:val="0"/>
                  <w:vAlign w:val="center"/>
                </w:tcPr>
                <w:p w14:paraId="7E5A01C3">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default" w:cstheme="minorBidi"/>
                      <w:b/>
                      <w:color w:val="auto"/>
                      <w:sz w:val="21"/>
                      <w:szCs w:val="24"/>
                      <w:lang w:val="en-US" w:eastAsia="zh-CN"/>
                    </w:rPr>
                  </w:pPr>
                </w:p>
              </w:tc>
              <w:tc>
                <w:tcPr>
                  <w:tcW w:w="917" w:type="pct"/>
                  <w:tcBorders>
                    <w:top w:val="single" w:color="auto" w:sz="4" w:space="0"/>
                    <w:bottom w:val="single" w:color="auto" w:sz="8" w:space="0"/>
                  </w:tcBorders>
                  <w:noWrap w:val="0"/>
                  <w:vAlign w:val="center"/>
                </w:tcPr>
                <w:p w14:paraId="0A7E912A">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default" w:cstheme="minorBidi"/>
                      <w:b/>
                      <w:color w:val="auto"/>
                      <w:sz w:val="21"/>
                      <w:szCs w:val="24"/>
                      <w:lang w:val="en-US" w:eastAsia="zh-CN"/>
                    </w:rPr>
                  </w:pPr>
                  <w:r>
                    <w:rPr>
                      <w:rFonts w:hint="eastAsia" w:cstheme="minorBidi"/>
                      <w:b/>
                      <w:color w:val="auto"/>
                      <w:sz w:val="21"/>
                      <w:szCs w:val="24"/>
                      <w:lang w:val="en-US" w:eastAsia="zh-CN"/>
                    </w:rPr>
                    <w:t>（昼间/夜间）</w:t>
                  </w:r>
                </w:p>
              </w:tc>
              <w:tc>
                <w:tcPr>
                  <w:tcW w:w="596" w:type="pct"/>
                  <w:vMerge w:val="continue"/>
                  <w:tcBorders>
                    <w:top w:val="single" w:color="auto" w:sz="4" w:space="0"/>
                    <w:bottom w:val="single" w:color="auto" w:sz="8" w:space="0"/>
                  </w:tcBorders>
                  <w:noWrap w:val="0"/>
                  <w:vAlign w:val="center"/>
                </w:tcPr>
                <w:p w14:paraId="549BD9F0">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default" w:cstheme="minorBidi"/>
                      <w:b/>
                      <w:color w:val="auto"/>
                      <w:sz w:val="21"/>
                      <w:szCs w:val="24"/>
                      <w:lang w:val="en-US" w:eastAsia="zh-CN"/>
                    </w:rPr>
                  </w:pPr>
                </w:p>
              </w:tc>
              <w:tc>
                <w:tcPr>
                  <w:tcW w:w="949" w:type="pct"/>
                  <w:tcBorders>
                    <w:top w:val="single" w:color="auto" w:sz="4" w:space="0"/>
                    <w:bottom w:val="single" w:color="auto" w:sz="8" w:space="0"/>
                  </w:tcBorders>
                  <w:noWrap w:val="0"/>
                  <w:vAlign w:val="center"/>
                </w:tcPr>
                <w:p w14:paraId="2FBA8A34">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eastAsia" w:cstheme="minorBidi"/>
                      <w:b/>
                      <w:color w:val="auto"/>
                      <w:sz w:val="21"/>
                      <w:szCs w:val="24"/>
                      <w:highlight w:val="none"/>
                      <w:lang w:eastAsia="zh-CN"/>
                    </w:rPr>
                  </w:pPr>
                  <w:r>
                    <w:rPr>
                      <w:rFonts w:hint="eastAsia" w:cstheme="minorBidi"/>
                      <w:b/>
                      <w:color w:val="auto"/>
                      <w:sz w:val="21"/>
                      <w:szCs w:val="24"/>
                      <w:highlight w:val="none"/>
                      <w:lang w:val="en-US" w:eastAsia="zh-CN"/>
                    </w:rPr>
                    <w:t>（昼间/夜间）</w:t>
                  </w:r>
                </w:p>
              </w:tc>
              <w:tc>
                <w:tcPr>
                  <w:tcW w:w="901" w:type="pct"/>
                  <w:tcBorders>
                    <w:top w:val="single" w:color="auto" w:sz="4" w:space="0"/>
                    <w:bottom w:val="single" w:color="auto" w:sz="8" w:space="0"/>
                  </w:tcBorders>
                  <w:noWrap w:val="0"/>
                  <w:vAlign w:val="center"/>
                </w:tcPr>
                <w:p w14:paraId="134326B9">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eastAsia" w:cstheme="minorBidi"/>
                      <w:b/>
                      <w:color w:val="auto"/>
                      <w:sz w:val="21"/>
                      <w:szCs w:val="24"/>
                      <w:highlight w:val="none"/>
                      <w:lang w:eastAsia="zh-CN"/>
                    </w:rPr>
                  </w:pPr>
                  <w:r>
                    <w:rPr>
                      <w:rFonts w:hint="eastAsia" w:cstheme="minorBidi"/>
                      <w:b/>
                      <w:color w:val="auto"/>
                      <w:sz w:val="21"/>
                      <w:szCs w:val="24"/>
                      <w:highlight w:val="none"/>
                      <w:lang w:eastAsia="zh-CN"/>
                    </w:rPr>
                    <w:t>（</w:t>
                  </w:r>
                  <w:r>
                    <w:rPr>
                      <w:rFonts w:hint="eastAsia" w:cstheme="minorBidi"/>
                      <w:b/>
                      <w:color w:val="auto"/>
                      <w:sz w:val="21"/>
                      <w:szCs w:val="24"/>
                      <w:highlight w:val="none"/>
                    </w:rPr>
                    <w:t>昼间</w:t>
                  </w:r>
                  <w:r>
                    <w:rPr>
                      <w:rFonts w:hint="eastAsia" w:cstheme="minorBidi"/>
                      <w:b/>
                      <w:color w:val="auto"/>
                      <w:sz w:val="21"/>
                      <w:szCs w:val="24"/>
                      <w:highlight w:val="none"/>
                      <w:lang w:val="en-US" w:eastAsia="zh-CN"/>
                    </w:rPr>
                    <w:t>/夜间</w:t>
                  </w:r>
                  <w:r>
                    <w:rPr>
                      <w:rFonts w:hint="eastAsia" w:cstheme="minorBidi"/>
                      <w:b/>
                      <w:color w:val="auto"/>
                      <w:sz w:val="21"/>
                      <w:szCs w:val="24"/>
                      <w:highlight w:val="none"/>
                      <w:lang w:eastAsia="zh-CN"/>
                    </w:rPr>
                    <w:t>）</w:t>
                  </w:r>
                </w:p>
              </w:tc>
              <w:tc>
                <w:tcPr>
                  <w:tcW w:w="918" w:type="pct"/>
                  <w:tcBorders>
                    <w:top w:val="single" w:color="auto" w:sz="4" w:space="0"/>
                    <w:bottom w:val="single" w:color="auto" w:sz="8" w:space="0"/>
                  </w:tcBorders>
                  <w:noWrap w:val="0"/>
                  <w:vAlign w:val="center"/>
                </w:tcPr>
                <w:p w14:paraId="6C5B1DA7">
                  <w:pPr>
                    <w:pStyle w:val="28"/>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right="0" w:firstLine="0" w:firstLineChars="0"/>
                    <w:textAlignment w:val="auto"/>
                    <w:rPr>
                      <w:rFonts w:hint="eastAsia" w:cstheme="minorBidi"/>
                      <w:b/>
                      <w:color w:val="auto"/>
                      <w:sz w:val="21"/>
                      <w:szCs w:val="24"/>
                      <w:highlight w:val="none"/>
                      <w:lang w:eastAsia="zh-CN"/>
                    </w:rPr>
                  </w:pPr>
                  <w:r>
                    <w:rPr>
                      <w:rFonts w:hint="eastAsia" w:cstheme="minorBidi"/>
                      <w:b/>
                      <w:color w:val="auto"/>
                      <w:sz w:val="21"/>
                      <w:szCs w:val="24"/>
                      <w:highlight w:val="none"/>
                      <w:lang w:eastAsia="zh-CN"/>
                    </w:rPr>
                    <w:t>（</w:t>
                  </w:r>
                  <w:r>
                    <w:rPr>
                      <w:rFonts w:hint="eastAsia" w:cstheme="minorBidi"/>
                      <w:b/>
                      <w:color w:val="auto"/>
                      <w:sz w:val="21"/>
                      <w:szCs w:val="24"/>
                      <w:highlight w:val="none"/>
                    </w:rPr>
                    <w:t>昼间</w:t>
                  </w:r>
                  <w:r>
                    <w:rPr>
                      <w:rFonts w:hint="eastAsia" w:cstheme="minorBidi"/>
                      <w:b/>
                      <w:color w:val="auto"/>
                      <w:sz w:val="21"/>
                      <w:szCs w:val="24"/>
                      <w:highlight w:val="none"/>
                      <w:lang w:val="en-US" w:eastAsia="zh-CN"/>
                    </w:rPr>
                    <w:t>/夜间</w:t>
                  </w:r>
                  <w:r>
                    <w:rPr>
                      <w:rFonts w:hint="eastAsia" w:cstheme="minorBidi"/>
                      <w:b/>
                      <w:color w:val="auto"/>
                      <w:sz w:val="21"/>
                      <w:szCs w:val="24"/>
                      <w:highlight w:val="none"/>
                      <w:lang w:eastAsia="zh-CN"/>
                    </w:rPr>
                    <w:t>）</w:t>
                  </w:r>
                </w:p>
              </w:tc>
            </w:tr>
            <w:tr w14:paraId="13266FF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404" w:type="pct"/>
                  <w:tcBorders>
                    <w:top w:val="single" w:color="auto" w:sz="8" w:space="0"/>
                  </w:tcBorders>
                  <w:noWrap w:val="0"/>
                  <w:vAlign w:val="center"/>
                </w:tcPr>
                <w:p w14:paraId="3510A649">
                  <w:pPr>
                    <w:adjustRightInd w:val="0"/>
                    <w:snapToGrid w:val="0"/>
                    <w:jc w:val="center"/>
                    <w:rPr>
                      <w:rFonts w:hint="default" w:eastAsia="宋体"/>
                      <w:bCs/>
                      <w:color w:val="auto"/>
                      <w:szCs w:val="21"/>
                      <w:lang w:val="en-US" w:eastAsia="zh-CN"/>
                    </w:rPr>
                  </w:pPr>
                  <w:r>
                    <w:rPr>
                      <w:rFonts w:hint="eastAsia"/>
                      <w:bCs/>
                      <w:color w:val="auto"/>
                      <w:szCs w:val="21"/>
                      <w:lang w:val="en-US" w:eastAsia="zh-CN"/>
                    </w:rPr>
                    <w:t>西秦庄村</w:t>
                  </w:r>
                </w:p>
              </w:tc>
              <w:tc>
                <w:tcPr>
                  <w:tcW w:w="311" w:type="pct"/>
                  <w:tcBorders>
                    <w:top w:val="single" w:color="auto" w:sz="8" w:space="0"/>
                  </w:tcBorders>
                  <w:noWrap w:val="0"/>
                  <w:vAlign w:val="center"/>
                </w:tcPr>
                <w:p w14:paraId="36ABE254">
                  <w:pPr>
                    <w:jc w:val="center"/>
                    <w:rPr>
                      <w:rFonts w:hint="default" w:eastAsia="宋体"/>
                      <w:bCs/>
                      <w:color w:val="auto"/>
                      <w:lang w:val="en-US" w:eastAsia="zh-CN"/>
                    </w:rPr>
                  </w:pPr>
                  <w:r>
                    <w:rPr>
                      <w:rFonts w:hint="eastAsia"/>
                      <w:bCs/>
                      <w:color w:val="auto"/>
                      <w:lang w:val="en-US" w:eastAsia="zh-CN"/>
                    </w:rPr>
                    <w:t>北厂界</w:t>
                  </w:r>
                </w:p>
              </w:tc>
              <w:tc>
                <w:tcPr>
                  <w:tcW w:w="917" w:type="pct"/>
                  <w:tcBorders>
                    <w:top w:val="single" w:color="auto" w:sz="8" w:space="0"/>
                  </w:tcBorders>
                  <w:noWrap w:val="0"/>
                  <w:vAlign w:val="center"/>
                </w:tcPr>
                <w:p w14:paraId="453ADD77">
                  <w:pPr>
                    <w:jc w:val="center"/>
                    <w:rPr>
                      <w:rFonts w:hint="default" w:eastAsia="宋体"/>
                      <w:bCs/>
                      <w:color w:val="auto"/>
                      <w:lang w:val="en-US" w:eastAsia="zh-CN"/>
                    </w:rPr>
                  </w:pPr>
                  <w:r>
                    <w:rPr>
                      <w:rFonts w:hint="eastAsia"/>
                      <w:bCs/>
                      <w:color w:val="auto"/>
                      <w:lang w:val="en-US" w:eastAsia="zh-CN"/>
                    </w:rPr>
                    <w:t>55/45</w:t>
                  </w:r>
                </w:p>
              </w:tc>
              <w:tc>
                <w:tcPr>
                  <w:tcW w:w="596" w:type="pct"/>
                  <w:tcBorders>
                    <w:top w:val="single" w:color="auto" w:sz="8" w:space="0"/>
                  </w:tcBorders>
                  <w:noWrap w:val="0"/>
                  <w:vAlign w:val="center"/>
                </w:tcPr>
                <w:p w14:paraId="54BA3534">
                  <w:pPr>
                    <w:jc w:val="center"/>
                    <w:rPr>
                      <w:rFonts w:hint="default" w:eastAsia="宋体"/>
                      <w:bCs/>
                      <w:color w:val="auto"/>
                      <w:lang w:val="en-US" w:eastAsia="zh-CN"/>
                    </w:rPr>
                  </w:pPr>
                  <w:r>
                    <w:rPr>
                      <w:rFonts w:hint="eastAsia"/>
                      <w:bCs/>
                      <w:color w:val="auto"/>
                      <w:lang w:val="en-US" w:eastAsia="zh-CN"/>
                    </w:rPr>
                    <w:t>34.24</w:t>
                  </w:r>
                </w:p>
              </w:tc>
              <w:tc>
                <w:tcPr>
                  <w:tcW w:w="949" w:type="pct"/>
                  <w:tcBorders>
                    <w:top w:val="single" w:color="auto" w:sz="8" w:space="0"/>
                  </w:tcBorders>
                  <w:noWrap w:val="0"/>
                  <w:vAlign w:val="center"/>
                </w:tcPr>
                <w:p w14:paraId="2191C6BE">
                  <w:pPr>
                    <w:adjustRightInd w:val="0"/>
                    <w:snapToGrid w:val="0"/>
                    <w:jc w:val="center"/>
                    <w:rPr>
                      <w:rFonts w:hint="default" w:eastAsia="宋体"/>
                      <w:bCs/>
                      <w:color w:val="auto"/>
                      <w:szCs w:val="21"/>
                      <w:lang w:val="en-US" w:eastAsia="zh-CN"/>
                    </w:rPr>
                  </w:pPr>
                  <w:r>
                    <w:rPr>
                      <w:rFonts w:hint="eastAsia"/>
                      <w:bCs/>
                      <w:color w:val="auto"/>
                      <w:szCs w:val="21"/>
                      <w:lang w:val="en-US" w:eastAsia="zh-CN"/>
                    </w:rPr>
                    <w:t>53/42</w:t>
                  </w:r>
                </w:p>
              </w:tc>
              <w:tc>
                <w:tcPr>
                  <w:tcW w:w="901" w:type="pct"/>
                  <w:tcBorders>
                    <w:top w:val="single" w:color="auto" w:sz="8" w:space="0"/>
                  </w:tcBorders>
                  <w:noWrap w:val="0"/>
                  <w:vAlign w:val="center"/>
                </w:tcPr>
                <w:p w14:paraId="41449504">
                  <w:pPr>
                    <w:adjustRightInd w:val="0"/>
                    <w:snapToGrid w:val="0"/>
                    <w:jc w:val="center"/>
                    <w:rPr>
                      <w:rFonts w:hint="default" w:eastAsia="宋体"/>
                      <w:bCs/>
                      <w:color w:val="auto"/>
                      <w:szCs w:val="21"/>
                      <w:lang w:val="en-US" w:eastAsia="zh-CN"/>
                    </w:rPr>
                  </w:pPr>
                  <w:r>
                    <w:rPr>
                      <w:rFonts w:hint="eastAsia"/>
                      <w:bCs/>
                      <w:color w:val="auto"/>
                      <w:szCs w:val="21"/>
                      <w:lang w:val="en-US" w:eastAsia="zh-CN"/>
                    </w:rPr>
                    <w:t>53.06/42.67</w:t>
                  </w:r>
                </w:p>
              </w:tc>
              <w:tc>
                <w:tcPr>
                  <w:tcW w:w="918" w:type="pct"/>
                  <w:tcBorders>
                    <w:top w:val="single" w:color="auto" w:sz="8" w:space="0"/>
                  </w:tcBorders>
                  <w:noWrap w:val="0"/>
                  <w:vAlign w:val="center"/>
                </w:tcPr>
                <w:p w14:paraId="3E665D23">
                  <w:pPr>
                    <w:adjustRightInd w:val="0"/>
                    <w:snapToGrid w:val="0"/>
                    <w:jc w:val="center"/>
                    <w:rPr>
                      <w:rFonts w:hint="eastAsia" w:eastAsia="宋体"/>
                      <w:bCs/>
                      <w:color w:val="auto"/>
                      <w:szCs w:val="21"/>
                      <w:lang w:val="en-US" w:eastAsia="zh-CN"/>
                    </w:rPr>
                  </w:pPr>
                  <w:r>
                    <w:rPr>
                      <w:rFonts w:hint="eastAsia"/>
                      <w:bCs/>
                      <w:color w:val="auto"/>
                      <w:szCs w:val="21"/>
                      <w:lang w:val="en-US" w:eastAsia="zh-CN"/>
                    </w:rPr>
                    <w:t>均达标</w:t>
                  </w:r>
                </w:p>
              </w:tc>
            </w:tr>
          </w:tbl>
          <w:p w14:paraId="6A2D1447">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rPr>
              <w:t>由上表可知，经过基础减振、密闭隔音等措施后，本项目建成后厂界四周噪声值均满足《工业企业厂界环</w:t>
            </w:r>
            <w:r>
              <w:rPr>
                <w:rFonts w:hint="default" w:ascii="Times New Roman" w:hAnsi="Times New Roman" w:eastAsia="宋体" w:cs="Times New Roman"/>
                <w:b w:val="0"/>
                <w:bCs w:val="0"/>
                <w:color w:val="auto"/>
                <w:sz w:val="24"/>
              </w:rPr>
              <w:t>境噪声排放标准》（GB12348-2008）</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类</w:t>
            </w:r>
            <w:r>
              <w:rPr>
                <w:rFonts w:hint="default" w:ascii="Times New Roman" w:hAnsi="Times New Roman" w:eastAsia="宋体" w:cs="Times New Roman"/>
                <w:b w:val="0"/>
                <w:bCs w:val="0"/>
                <w:color w:val="auto"/>
                <w:sz w:val="24"/>
              </w:rPr>
              <w:t>昼</w:t>
            </w:r>
            <w:r>
              <w:rPr>
                <w:rFonts w:hint="default" w:ascii="Times New Roman" w:hAnsi="Times New Roman" w:eastAsia="宋体" w:cs="Times New Roman"/>
                <w:b w:val="0"/>
                <w:bCs w:val="0"/>
                <w:color w:val="auto"/>
                <w:sz w:val="24"/>
                <w:highlight w:val="none"/>
              </w:rPr>
              <w:t>间</w:t>
            </w:r>
            <w:r>
              <w:rPr>
                <w:rFonts w:hint="default" w:ascii="Times New Roman" w:hAnsi="Times New Roman" w:cs="Times New Roman"/>
                <w:color w:val="auto"/>
                <w:sz w:val="24"/>
                <w:lang w:val="en-US" w:eastAsia="zh-CN"/>
              </w:rPr>
              <w:t>≤</w:t>
            </w:r>
            <w:r>
              <w:rPr>
                <w:rFonts w:hint="default" w:ascii="Times New Roman" w:hAnsi="Times New Roman" w:eastAsia="宋体" w:cs="Times New Roman"/>
                <w:b w:val="0"/>
                <w:bCs w:val="0"/>
                <w:color w:val="auto"/>
                <w:sz w:val="24"/>
                <w:highlight w:val="none"/>
                <w:lang w:val="en-US" w:eastAsia="zh-CN"/>
              </w:rPr>
              <w:t>55</w:t>
            </w:r>
            <w:r>
              <w:rPr>
                <w:rFonts w:hint="default" w:ascii="Times New Roman" w:hAnsi="Times New Roman" w:eastAsia="宋体" w:cs="Times New Roman"/>
                <w:b w:val="0"/>
                <w:bCs w:val="0"/>
                <w:color w:val="auto"/>
                <w:sz w:val="24"/>
                <w:highlight w:val="none"/>
              </w:rPr>
              <w:t>dB（A）</w:t>
            </w:r>
            <w:r>
              <w:rPr>
                <w:rFonts w:hint="default"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lang w:val="en-US" w:eastAsia="zh-CN"/>
              </w:rPr>
              <w:t>夜间</w:t>
            </w:r>
            <w:r>
              <w:rPr>
                <w:rFonts w:hint="default" w:ascii="Times New Roman" w:hAnsi="Times New Roman" w:cs="Times New Roman"/>
                <w:color w:val="auto"/>
                <w:sz w:val="24"/>
                <w:lang w:val="en-US" w:eastAsia="zh-CN"/>
              </w:rPr>
              <w:t>≤</w:t>
            </w:r>
            <w:r>
              <w:rPr>
                <w:rFonts w:hint="default" w:ascii="Times New Roman" w:hAnsi="Times New Roman" w:eastAsia="宋体" w:cs="Times New Roman"/>
                <w:b w:val="0"/>
                <w:bCs w:val="0"/>
                <w:color w:val="auto"/>
                <w:sz w:val="24"/>
                <w:highlight w:val="none"/>
                <w:lang w:val="en-US" w:eastAsia="zh-CN"/>
              </w:rPr>
              <w:t>45</w:t>
            </w:r>
            <w:r>
              <w:rPr>
                <w:rFonts w:hint="default" w:ascii="Times New Roman" w:hAnsi="Times New Roman" w:eastAsia="宋体" w:cs="Times New Roman"/>
                <w:b w:val="0"/>
                <w:bCs w:val="0"/>
                <w:color w:val="auto"/>
                <w:sz w:val="24"/>
                <w:highlight w:val="none"/>
              </w:rPr>
              <w:t>dB（A）</w:t>
            </w:r>
            <w:r>
              <w:rPr>
                <w:rFonts w:hint="default" w:ascii="Times New Roman" w:hAnsi="Times New Roman" w:eastAsia="宋体" w:cs="Times New Roman"/>
                <w:color w:val="auto"/>
                <w:sz w:val="24"/>
                <w:szCs w:val="24"/>
                <w:highlight w:val="none"/>
              </w:rPr>
              <w:t>标准要求，达标排放。</w:t>
            </w:r>
          </w:p>
          <w:p w14:paraId="3461D0AA">
            <w:pPr>
              <w:pStyle w:val="26"/>
              <w:adjustRightInd/>
              <w:spacing w:line="440" w:lineRule="exact"/>
              <w:ind w:firstLine="480" w:firstLineChars="200"/>
              <w:jc w:val="both"/>
              <w:rPr>
                <w:rFonts w:ascii="Times New Roman" w:cs="Times New Roman"/>
                <w:snapToGrid w:val="0"/>
                <w:color w:val="auto"/>
                <w:highlight w:val="none"/>
              </w:rPr>
            </w:pPr>
            <w:r>
              <w:rPr>
                <w:rFonts w:hAnsi="宋体"/>
                <w:color w:val="auto"/>
                <w:sz w:val="24"/>
              </w:rPr>
              <w:t>根据</w:t>
            </w:r>
            <w:r>
              <w:rPr>
                <w:rFonts w:hint="eastAsia" w:hAnsi="宋体"/>
                <w:color w:val="auto"/>
                <w:sz w:val="24"/>
              </w:rPr>
              <w:t>《排污许可证申请与核发技术规范 工业噪声》</w:t>
            </w:r>
            <w:r>
              <w:rPr>
                <w:rFonts w:hint="eastAsia"/>
                <w:color w:val="auto"/>
                <w:sz w:val="24"/>
              </w:rPr>
              <w:t>（</w:t>
            </w:r>
            <w:r>
              <w:rPr>
                <w:color w:val="auto"/>
                <w:sz w:val="24"/>
              </w:rPr>
              <w:t>HJ1301—2023</w:t>
            </w:r>
            <w:r>
              <w:rPr>
                <w:rFonts w:hint="eastAsia"/>
                <w:color w:val="auto"/>
                <w:sz w:val="24"/>
              </w:rPr>
              <w:t>）</w:t>
            </w:r>
            <w:r>
              <w:rPr>
                <w:rFonts w:hAnsi="宋体"/>
                <w:color w:val="auto"/>
                <w:sz w:val="24"/>
              </w:rPr>
              <w:t>，本项目噪声监测要求见下表。</w:t>
            </w:r>
          </w:p>
          <w:p w14:paraId="24EC44D1">
            <w:pPr>
              <w:spacing w:line="440" w:lineRule="exact"/>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表</w:t>
            </w:r>
            <w:r>
              <w:rPr>
                <w:rFonts w:hint="eastAsia" w:eastAsia="黑体" w:cs="Times New Roman"/>
                <w:color w:val="auto"/>
                <w:kern w:val="2"/>
                <w:sz w:val="24"/>
                <w:szCs w:val="24"/>
                <w:highlight w:val="none"/>
                <w:lang w:val="en-US" w:eastAsia="zh-CN" w:bidi="ar-SA"/>
              </w:rPr>
              <w:t>19</w:t>
            </w:r>
            <w:r>
              <w:rPr>
                <w:rFonts w:hint="default" w:ascii="Times New Roman" w:hAnsi="Times New Roman" w:eastAsia="黑体" w:cs="Times New Roman"/>
                <w:color w:val="auto"/>
                <w:kern w:val="2"/>
                <w:sz w:val="24"/>
                <w:szCs w:val="24"/>
                <w:highlight w:val="none"/>
                <w:lang w:val="en-US" w:eastAsia="zh-CN" w:bidi="ar-SA"/>
              </w:rPr>
              <w:t xml:space="preserve">   噪声监测计划一览表</w:t>
            </w:r>
          </w:p>
          <w:tbl>
            <w:tblPr>
              <w:tblStyle w:val="17"/>
              <w:tblW w:w="4996"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286"/>
              <w:gridCol w:w="2003"/>
              <w:gridCol w:w="2036"/>
              <w:gridCol w:w="1928"/>
            </w:tblGrid>
            <w:tr w14:paraId="2F72899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tcBorders>
                    <w:top w:val="single" w:color="auto" w:sz="8" w:space="0"/>
                    <w:bottom w:val="single" w:color="auto" w:sz="8" w:space="0"/>
                  </w:tcBorders>
                  <w:noWrap w:val="0"/>
                  <w:vAlign w:val="center"/>
                </w:tcPr>
                <w:p w14:paraId="2CDB966B">
                  <w:pPr>
                    <w:jc w:val="center"/>
                    <w:textAlignment w:val="baseline"/>
                    <w:rPr>
                      <w:b/>
                      <w:color w:val="auto"/>
                      <w:szCs w:val="21"/>
                    </w:rPr>
                  </w:pPr>
                  <w:r>
                    <w:rPr>
                      <w:b/>
                      <w:color w:val="auto"/>
                      <w:szCs w:val="21"/>
                    </w:rPr>
                    <w:t>序号</w:t>
                  </w:r>
                </w:p>
              </w:tc>
              <w:tc>
                <w:tcPr>
                  <w:tcW w:w="810" w:type="pct"/>
                  <w:tcBorders>
                    <w:top w:val="single" w:color="auto" w:sz="8" w:space="0"/>
                    <w:bottom w:val="single" w:color="auto" w:sz="8" w:space="0"/>
                  </w:tcBorders>
                  <w:noWrap w:val="0"/>
                  <w:vAlign w:val="center"/>
                </w:tcPr>
                <w:p w14:paraId="07F12BA2">
                  <w:pPr>
                    <w:jc w:val="center"/>
                    <w:textAlignment w:val="baseline"/>
                    <w:rPr>
                      <w:b/>
                      <w:color w:val="auto"/>
                      <w:szCs w:val="21"/>
                    </w:rPr>
                  </w:pPr>
                  <w:r>
                    <w:rPr>
                      <w:b/>
                      <w:color w:val="auto"/>
                      <w:szCs w:val="21"/>
                    </w:rPr>
                    <w:t>类别</w:t>
                  </w:r>
                </w:p>
              </w:tc>
              <w:tc>
                <w:tcPr>
                  <w:tcW w:w="1261" w:type="pct"/>
                  <w:tcBorders>
                    <w:top w:val="single" w:color="auto" w:sz="8" w:space="0"/>
                    <w:bottom w:val="single" w:color="auto" w:sz="8" w:space="0"/>
                  </w:tcBorders>
                  <w:noWrap w:val="0"/>
                  <w:vAlign w:val="center"/>
                </w:tcPr>
                <w:p w14:paraId="5B0603F4">
                  <w:pPr>
                    <w:jc w:val="center"/>
                    <w:textAlignment w:val="baseline"/>
                    <w:rPr>
                      <w:b/>
                      <w:color w:val="auto"/>
                      <w:szCs w:val="21"/>
                    </w:rPr>
                  </w:pPr>
                  <w:r>
                    <w:rPr>
                      <w:b/>
                      <w:color w:val="auto"/>
                      <w:szCs w:val="21"/>
                    </w:rPr>
                    <w:t>监测因子</w:t>
                  </w:r>
                </w:p>
              </w:tc>
              <w:tc>
                <w:tcPr>
                  <w:tcW w:w="1282" w:type="pct"/>
                  <w:tcBorders>
                    <w:top w:val="single" w:color="auto" w:sz="8" w:space="0"/>
                    <w:bottom w:val="single" w:color="auto" w:sz="8" w:space="0"/>
                  </w:tcBorders>
                  <w:noWrap w:val="0"/>
                  <w:vAlign w:val="center"/>
                </w:tcPr>
                <w:p w14:paraId="60520414">
                  <w:pPr>
                    <w:jc w:val="center"/>
                    <w:textAlignment w:val="baseline"/>
                    <w:rPr>
                      <w:b/>
                      <w:color w:val="auto"/>
                      <w:szCs w:val="21"/>
                    </w:rPr>
                  </w:pPr>
                  <w:r>
                    <w:rPr>
                      <w:b/>
                      <w:color w:val="auto"/>
                      <w:szCs w:val="21"/>
                    </w:rPr>
                    <w:t>监测点位</w:t>
                  </w:r>
                </w:p>
              </w:tc>
              <w:tc>
                <w:tcPr>
                  <w:tcW w:w="1214" w:type="pct"/>
                  <w:tcBorders>
                    <w:top w:val="single" w:color="auto" w:sz="8" w:space="0"/>
                    <w:bottom w:val="single" w:color="auto" w:sz="8" w:space="0"/>
                  </w:tcBorders>
                  <w:noWrap w:val="0"/>
                  <w:vAlign w:val="center"/>
                </w:tcPr>
                <w:p w14:paraId="15374AC3">
                  <w:pPr>
                    <w:jc w:val="center"/>
                    <w:textAlignment w:val="baseline"/>
                    <w:rPr>
                      <w:b/>
                      <w:color w:val="auto"/>
                      <w:szCs w:val="21"/>
                    </w:rPr>
                  </w:pPr>
                  <w:r>
                    <w:rPr>
                      <w:b/>
                      <w:color w:val="auto"/>
                      <w:szCs w:val="21"/>
                    </w:rPr>
                    <w:t>监测频次</w:t>
                  </w:r>
                </w:p>
              </w:tc>
            </w:tr>
            <w:tr w14:paraId="5EE1AA2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0" w:type="pct"/>
                  <w:tcBorders>
                    <w:top w:val="single" w:color="auto" w:sz="8" w:space="0"/>
                  </w:tcBorders>
                  <w:noWrap w:val="0"/>
                  <w:vAlign w:val="center"/>
                </w:tcPr>
                <w:p w14:paraId="1BD34A89">
                  <w:pPr>
                    <w:jc w:val="center"/>
                    <w:textAlignment w:val="baseline"/>
                    <w:rPr>
                      <w:rFonts w:hint="eastAsia"/>
                      <w:color w:val="auto"/>
                      <w:szCs w:val="21"/>
                    </w:rPr>
                  </w:pPr>
                  <w:r>
                    <w:rPr>
                      <w:rFonts w:hint="eastAsia"/>
                      <w:color w:val="auto"/>
                      <w:szCs w:val="21"/>
                    </w:rPr>
                    <w:t>1</w:t>
                  </w:r>
                </w:p>
              </w:tc>
              <w:tc>
                <w:tcPr>
                  <w:tcW w:w="810" w:type="pct"/>
                  <w:tcBorders>
                    <w:top w:val="single" w:color="auto" w:sz="8" w:space="0"/>
                  </w:tcBorders>
                  <w:noWrap w:val="0"/>
                  <w:vAlign w:val="center"/>
                </w:tcPr>
                <w:p w14:paraId="7A617AD1">
                  <w:pPr>
                    <w:jc w:val="center"/>
                    <w:textAlignment w:val="baseline"/>
                    <w:rPr>
                      <w:color w:val="auto"/>
                      <w:szCs w:val="21"/>
                    </w:rPr>
                  </w:pPr>
                  <w:r>
                    <w:rPr>
                      <w:color w:val="auto"/>
                      <w:szCs w:val="21"/>
                    </w:rPr>
                    <w:t>噪声</w:t>
                  </w:r>
                </w:p>
              </w:tc>
              <w:tc>
                <w:tcPr>
                  <w:tcW w:w="1261" w:type="pct"/>
                  <w:tcBorders>
                    <w:top w:val="single" w:color="auto" w:sz="8" w:space="0"/>
                  </w:tcBorders>
                  <w:noWrap w:val="0"/>
                  <w:vAlign w:val="center"/>
                </w:tcPr>
                <w:p w14:paraId="4782567C">
                  <w:pPr>
                    <w:jc w:val="center"/>
                    <w:textAlignment w:val="baseline"/>
                    <w:rPr>
                      <w:color w:val="auto"/>
                      <w:szCs w:val="21"/>
                    </w:rPr>
                  </w:pPr>
                  <w:r>
                    <w:rPr>
                      <w:color w:val="auto"/>
                      <w:szCs w:val="21"/>
                    </w:rPr>
                    <w:t>Leq（A）</w:t>
                  </w:r>
                </w:p>
              </w:tc>
              <w:tc>
                <w:tcPr>
                  <w:tcW w:w="1282" w:type="pct"/>
                  <w:tcBorders>
                    <w:top w:val="single" w:color="auto" w:sz="8" w:space="0"/>
                  </w:tcBorders>
                  <w:noWrap w:val="0"/>
                  <w:vAlign w:val="center"/>
                </w:tcPr>
                <w:p w14:paraId="460E8227">
                  <w:pPr>
                    <w:jc w:val="center"/>
                    <w:textAlignment w:val="baseline"/>
                    <w:rPr>
                      <w:color w:val="auto"/>
                      <w:szCs w:val="21"/>
                    </w:rPr>
                  </w:pPr>
                  <w:r>
                    <w:rPr>
                      <w:color w:val="auto"/>
                      <w:szCs w:val="21"/>
                    </w:rPr>
                    <w:t>四周厂界外1m</w:t>
                  </w:r>
                </w:p>
              </w:tc>
              <w:tc>
                <w:tcPr>
                  <w:tcW w:w="1214" w:type="pct"/>
                  <w:tcBorders>
                    <w:top w:val="single" w:color="auto" w:sz="8" w:space="0"/>
                  </w:tcBorders>
                  <w:noWrap w:val="0"/>
                  <w:vAlign w:val="center"/>
                </w:tcPr>
                <w:p w14:paraId="348A5771">
                  <w:pPr>
                    <w:jc w:val="center"/>
                    <w:textAlignment w:val="baseline"/>
                    <w:rPr>
                      <w:rFonts w:hint="eastAsia" w:eastAsia="宋体"/>
                      <w:color w:val="auto"/>
                      <w:szCs w:val="21"/>
                      <w:lang w:eastAsia="zh-CN"/>
                    </w:rPr>
                  </w:pPr>
                  <w:r>
                    <w:rPr>
                      <w:color w:val="auto"/>
                      <w:szCs w:val="21"/>
                    </w:rPr>
                    <w:t>1次/</w:t>
                  </w:r>
                  <w:r>
                    <w:rPr>
                      <w:rFonts w:hint="eastAsia"/>
                      <w:color w:val="auto"/>
                      <w:szCs w:val="21"/>
                      <w:lang w:val="en-US" w:eastAsia="zh-CN"/>
                    </w:rPr>
                    <w:t>季度</w:t>
                  </w:r>
                </w:p>
              </w:tc>
            </w:tr>
          </w:tbl>
          <w:p w14:paraId="7F165C32">
            <w:pPr>
              <w:keepNext w:val="0"/>
              <w:keepLines w:val="0"/>
              <w:pageBreakBefore w:val="0"/>
              <w:widowControl w:val="0"/>
              <w:kinsoku/>
              <w:wordWrap/>
              <w:overflowPunct/>
              <w:topLinePunct w:val="0"/>
              <w:bidi w:val="0"/>
              <w:adjustRightInd/>
              <w:snapToGrid/>
              <w:spacing w:line="440" w:lineRule="atLeast"/>
              <w:ind w:firstLine="482" w:firstLineChars="200"/>
              <w:textAlignment w:val="auto"/>
              <w:rPr>
                <w:b/>
                <w:color w:val="auto"/>
                <w:sz w:val="24"/>
              </w:rPr>
            </w:pPr>
            <w:r>
              <w:rPr>
                <w:b/>
                <w:color w:val="auto"/>
                <w:sz w:val="24"/>
              </w:rPr>
              <w:t>四、固废</w:t>
            </w:r>
          </w:p>
          <w:p w14:paraId="0D62E7F6">
            <w:pPr>
              <w:keepNext w:val="0"/>
              <w:keepLines w:val="0"/>
              <w:pageBreakBefore w:val="0"/>
              <w:widowControl w:val="0"/>
              <w:tabs>
                <w:tab w:val="left" w:pos="6720"/>
              </w:tabs>
              <w:kinsoku/>
              <w:wordWrap/>
              <w:overflowPunct/>
              <w:topLinePunct w:val="0"/>
              <w:autoSpaceDE w:val="0"/>
              <w:autoSpaceDN w:val="0"/>
              <w:bidi w:val="0"/>
              <w:adjustRightInd/>
              <w:snapToGrid/>
              <w:spacing w:line="440" w:lineRule="atLeast"/>
              <w:ind w:firstLine="470" w:firstLineChars="196"/>
              <w:textAlignment w:val="auto"/>
              <w:rPr>
                <w:rFonts w:ascii="Times New Roman" w:hAnsi="Times New Roman" w:eastAsia="宋体" w:cs="Times New Roman"/>
                <w:color w:val="auto"/>
                <w:sz w:val="24"/>
              </w:rPr>
            </w:pPr>
            <w:r>
              <w:rPr>
                <w:color w:val="auto"/>
                <w:sz w:val="24"/>
              </w:rPr>
              <w:t>本项目运营期产生的固废主要</w:t>
            </w:r>
            <w:r>
              <w:rPr>
                <w:rFonts w:hint="eastAsia" w:ascii="Times New Roman" w:hAnsi="Times New Roman" w:eastAsia="宋体" w:cs="Times New Roman"/>
                <w:color w:val="auto"/>
                <w:sz w:val="24"/>
              </w:rPr>
              <w:t>废包装材料</w:t>
            </w:r>
            <w:r>
              <w:rPr>
                <w:rFonts w:hint="eastAsia" w:cs="Times New Roman"/>
                <w:color w:val="auto"/>
                <w:sz w:val="24"/>
                <w:lang w:val="en-US" w:eastAsia="zh-CN"/>
              </w:rPr>
              <w:t>及不合格电池</w:t>
            </w:r>
            <w:r>
              <w:rPr>
                <w:rFonts w:ascii="Times New Roman" w:hAnsi="Times New Roman" w:eastAsia="宋体" w:cs="Times New Roman"/>
                <w:color w:val="auto"/>
                <w:sz w:val="24"/>
              </w:rPr>
              <w:t>。</w:t>
            </w:r>
          </w:p>
          <w:p w14:paraId="310ED47D">
            <w:pPr>
              <w:pStyle w:val="9"/>
              <w:keepNext w:val="0"/>
              <w:keepLines w:val="0"/>
              <w:pageBreakBefore w:val="0"/>
              <w:kinsoku/>
              <w:wordWrap/>
              <w:overflowPunct/>
              <w:topLinePunct w:val="0"/>
              <w:autoSpaceDE/>
              <w:autoSpaceDN/>
              <w:bidi w:val="0"/>
              <w:spacing w:before="0" w:after="0" w:line="440" w:lineRule="atLeast"/>
              <w:ind w:right="0"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cs="Times New Roman"/>
                <w:color w:val="auto"/>
                <w:sz w:val="24"/>
                <w:lang w:val="en-US" w:eastAsia="zh-CN"/>
              </w:rPr>
              <w:t>1</w:t>
            </w:r>
            <w:r>
              <w:rPr>
                <w:rFonts w:ascii="Times New Roman" w:hAnsi="Times New Roman" w:eastAsia="宋体" w:cs="Times New Roman"/>
                <w:color w:val="auto"/>
                <w:sz w:val="24"/>
              </w:rPr>
              <w:t>）废弃包装材料</w:t>
            </w:r>
          </w:p>
          <w:p w14:paraId="72CFD184">
            <w:pPr>
              <w:pStyle w:val="9"/>
              <w:keepNext w:val="0"/>
              <w:keepLines w:val="0"/>
              <w:pageBreakBefore w:val="0"/>
              <w:kinsoku/>
              <w:wordWrap/>
              <w:overflowPunct/>
              <w:topLinePunct w:val="0"/>
              <w:autoSpaceDE/>
              <w:autoSpaceDN/>
              <w:bidi w:val="0"/>
              <w:spacing w:before="0" w:after="0" w:line="440" w:lineRule="atLeast"/>
              <w:ind w:right="0"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w:t>
            </w:r>
            <w:r>
              <w:rPr>
                <w:rFonts w:hint="eastAsia" w:ascii="Times New Roman" w:hAnsi="Times New Roman" w:eastAsia="宋体" w:cs="Times New Roman"/>
                <w:color w:val="auto"/>
                <w:sz w:val="24"/>
                <w:lang w:val="en-US" w:eastAsia="zh-CN"/>
              </w:rPr>
              <w:t>在成品包装工序会产生废弃包装材料，</w:t>
            </w:r>
            <w:r>
              <w:rPr>
                <w:rFonts w:ascii="Times New Roman" w:hAnsi="Times New Roman" w:eastAsia="宋体" w:cs="Times New Roman"/>
                <w:color w:val="auto"/>
                <w:sz w:val="24"/>
              </w:rPr>
              <w:t>废弃包装材料产生量为</w:t>
            </w:r>
            <w:r>
              <w:rPr>
                <w:rFonts w:hint="eastAsia" w:cs="Times New Roman"/>
                <w:color w:val="auto"/>
                <w:sz w:val="24"/>
                <w:lang w:val="en-US" w:eastAsia="zh-CN"/>
              </w:rPr>
              <w:t>0.5</w:t>
            </w:r>
            <w:r>
              <w:rPr>
                <w:rFonts w:ascii="Times New Roman" w:hAnsi="Times New Roman" w:eastAsia="宋体" w:cs="Times New Roman"/>
                <w:color w:val="auto"/>
                <w:sz w:val="24"/>
              </w:rPr>
              <w:t>t/a，集中收集</w:t>
            </w:r>
            <w:r>
              <w:rPr>
                <w:rFonts w:hint="eastAsia" w:ascii="Times New Roman" w:hAnsi="Times New Roman" w:eastAsia="宋体" w:cs="Times New Roman"/>
                <w:color w:val="auto"/>
                <w:sz w:val="24"/>
                <w:lang w:val="en-US" w:eastAsia="zh-CN"/>
              </w:rPr>
              <w:t>后暂存于一般固废间定期</w:t>
            </w:r>
            <w:r>
              <w:rPr>
                <w:rFonts w:ascii="Times New Roman" w:hAnsi="Times New Roman" w:eastAsia="宋体" w:cs="Times New Roman"/>
                <w:color w:val="auto"/>
                <w:sz w:val="24"/>
              </w:rPr>
              <w:t>外售给废品回收公司。</w:t>
            </w:r>
          </w:p>
          <w:p w14:paraId="6389DC5F">
            <w:pPr>
              <w:pStyle w:val="9"/>
              <w:keepNext w:val="0"/>
              <w:keepLines w:val="0"/>
              <w:pageBreakBefore w:val="0"/>
              <w:kinsoku/>
              <w:wordWrap/>
              <w:overflowPunct/>
              <w:topLinePunct w:val="0"/>
              <w:autoSpaceDE/>
              <w:autoSpaceDN/>
              <w:bidi w:val="0"/>
              <w:spacing w:before="0" w:after="0" w:line="440" w:lineRule="atLeast"/>
              <w:ind w:right="0" w:firstLine="480" w:firstLineChars="200"/>
              <w:rPr>
                <w:rFonts w:hint="eastAsia" w:cs="Times New Roman"/>
                <w:color w:val="auto"/>
                <w:sz w:val="24"/>
                <w:lang w:val="en-US" w:eastAsia="zh-CN"/>
              </w:rPr>
            </w:pPr>
            <w:r>
              <w:rPr>
                <w:rFonts w:hint="eastAsia" w:cs="Times New Roman"/>
                <w:color w:val="auto"/>
                <w:sz w:val="24"/>
                <w:lang w:eastAsia="zh-CN"/>
              </w:rPr>
              <w:t>（</w:t>
            </w:r>
            <w:r>
              <w:rPr>
                <w:rFonts w:hint="eastAsia" w:cs="Times New Roman"/>
                <w:color w:val="auto"/>
                <w:sz w:val="24"/>
                <w:lang w:val="en-US" w:eastAsia="zh-CN"/>
              </w:rPr>
              <w:t>2</w:t>
            </w:r>
            <w:r>
              <w:rPr>
                <w:rFonts w:hint="eastAsia" w:cs="Times New Roman"/>
                <w:color w:val="auto"/>
                <w:sz w:val="24"/>
                <w:lang w:eastAsia="zh-CN"/>
              </w:rPr>
              <w:t>）</w:t>
            </w:r>
            <w:r>
              <w:rPr>
                <w:rFonts w:hint="eastAsia" w:cs="Times New Roman"/>
                <w:color w:val="auto"/>
                <w:sz w:val="24"/>
                <w:lang w:val="en-US" w:eastAsia="zh-CN"/>
              </w:rPr>
              <w:t>不合格电池</w:t>
            </w:r>
          </w:p>
          <w:p w14:paraId="0B27C8B1">
            <w:pPr>
              <w:pStyle w:val="9"/>
              <w:keepNext w:val="0"/>
              <w:keepLines w:val="0"/>
              <w:pageBreakBefore w:val="0"/>
              <w:kinsoku/>
              <w:wordWrap/>
              <w:overflowPunct/>
              <w:topLinePunct w:val="0"/>
              <w:autoSpaceDE/>
              <w:autoSpaceDN/>
              <w:bidi w:val="0"/>
              <w:spacing w:before="0" w:after="0" w:line="440" w:lineRule="atLeast"/>
              <w:ind w:right="0" w:firstLine="480" w:firstLineChars="200"/>
              <w:rPr>
                <w:rFonts w:hint="default" w:cs="Times New Roman"/>
                <w:color w:val="auto"/>
                <w:sz w:val="24"/>
                <w:lang w:val="en-US" w:eastAsia="zh-CN"/>
              </w:rPr>
            </w:pPr>
            <w:r>
              <w:rPr>
                <w:rFonts w:hint="eastAsia" w:cs="Times New Roman"/>
                <w:color w:val="auto"/>
                <w:sz w:val="24"/>
                <w:lang w:val="en-US" w:eastAsia="zh-CN"/>
              </w:rPr>
              <w:t>本项目在电池检验环节会产生不合格电池，属于一般固体废物。根据企业品控要求，其产品合格率要求控制在99.9%，因此本项目不合格电池产生量为0.181t/a，经集中收集后，暂存于一般固废间，定期外售。</w:t>
            </w:r>
          </w:p>
          <w:p w14:paraId="79CC4A10">
            <w:pPr>
              <w:spacing w:line="440" w:lineRule="exact"/>
              <w:jc w:val="center"/>
              <w:rPr>
                <w:rFonts w:hint="default" w:ascii="Times New Roman" w:hAnsi="Times New Roman" w:eastAsia="黑体" w:cs="Times New Roman"/>
                <w:color w:val="auto"/>
                <w:kern w:val="2"/>
                <w:sz w:val="24"/>
                <w:szCs w:val="24"/>
                <w:highlight w:val="none"/>
                <w:lang w:val="en-US" w:eastAsia="zh-CN" w:bidi="ar-SA"/>
              </w:rPr>
            </w:pPr>
            <w:r>
              <w:rPr>
                <w:rFonts w:hint="default" w:ascii="Times New Roman" w:hAnsi="Times New Roman" w:eastAsia="黑体" w:cs="Times New Roman"/>
                <w:color w:val="auto"/>
                <w:kern w:val="2"/>
                <w:sz w:val="24"/>
                <w:szCs w:val="24"/>
                <w:highlight w:val="none"/>
                <w:lang w:val="en-US" w:eastAsia="zh-CN" w:bidi="ar-SA"/>
              </w:rPr>
              <w:t>表</w:t>
            </w:r>
            <w:r>
              <w:rPr>
                <w:rFonts w:hint="eastAsia" w:eastAsia="黑体" w:cs="Times New Roman"/>
                <w:color w:val="auto"/>
                <w:kern w:val="2"/>
                <w:sz w:val="24"/>
                <w:szCs w:val="24"/>
                <w:highlight w:val="none"/>
                <w:lang w:val="en-US" w:eastAsia="zh-CN" w:bidi="ar-SA"/>
              </w:rPr>
              <w:t>20</w:t>
            </w:r>
            <w:r>
              <w:rPr>
                <w:rFonts w:hint="default" w:ascii="Times New Roman" w:hAnsi="Times New Roman" w:eastAsia="黑体" w:cs="Times New Roman"/>
                <w:color w:val="auto"/>
                <w:kern w:val="2"/>
                <w:sz w:val="24"/>
                <w:szCs w:val="24"/>
                <w:highlight w:val="none"/>
                <w:lang w:val="en-US" w:eastAsia="zh-CN" w:bidi="ar-SA"/>
              </w:rPr>
              <w:t xml:space="preserve">   </w:t>
            </w:r>
            <w:r>
              <w:rPr>
                <w:rFonts w:hint="eastAsia" w:ascii="Times New Roman" w:hAnsi="Times New Roman" w:eastAsia="黑体" w:cs="Times New Roman"/>
                <w:color w:val="auto"/>
                <w:kern w:val="2"/>
                <w:sz w:val="24"/>
                <w:szCs w:val="24"/>
                <w:highlight w:val="none"/>
                <w:lang w:val="en-US" w:eastAsia="zh-CN" w:bidi="ar-SA"/>
              </w:rPr>
              <w:t>项目运营期</w:t>
            </w:r>
            <w:r>
              <w:rPr>
                <w:rFonts w:hint="eastAsia" w:eastAsia="黑体" w:cs="Times New Roman"/>
                <w:color w:val="auto"/>
                <w:kern w:val="2"/>
                <w:sz w:val="24"/>
                <w:szCs w:val="24"/>
                <w:highlight w:val="none"/>
                <w:lang w:val="en-US" w:eastAsia="zh-CN" w:bidi="ar-SA"/>
              </w:rPr>
              <w:t>一般</w:t>
            </w:r>
            <w:r>
              <w:rPr>
                <w:rFonts w:hint="eastAsia" w:ascii="Times New Roman" w:hAnsi="Times New Roman" w:eastAsia="黑体" w:cs="Times New Roman"/>
                <w:color w:val="auto"/>
                <w:kern w:val="2"/>
                <w:sz w:val="24"/>
                <w:szCs w:val="24"/>
                <w:highlight w:val="none"/>
                <w:lang w:val="en-US" w:eastAsia="zh-CN" w:bidi="ar-SA"/>
              </w:rPr>
              <w:t>固体废物产生情况一览表</w:t>
            </w:r>
          </w:p>
          <w:tbl>
            <w:tblPr>
              <w:tblStyle w:val="17"/>
              <w:tblW w:w="8014"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1289"/>
              <w:gridCol w:w="1588"/>
              <w:gridCol w:w="1062"/>
              <w:gridCol w:w="2874"/>
            </w:tblGrid>
            <w:tr w14:paraId="79FB2D9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tcBorders>
                    <w:top w:val="single" w:color="auto" w:sz="8" w:space="0"/>
                    <w:bottom w:val="single" w:color="auto" w:sz="8" w:space="0"/>
                  </w:tcBorders>
                  <w:noWrap w:val="0"/>
                  <w:vAlign w:val="center"/>
                </w:tcPr>
                <w:p w14:paraId="26A50A9C">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b/>
                      <w:color w:val="auto"/>
                      <w:szCs w:val="21"/>
                    </w:rPr>
                  </w:pPr>
                  <w:r>
                    <w:rPr>
                      <w:rFonts w:hint="default"/>
                      <w:b/>
                      <w:bCs/>
                      <w:color w:val="auto"/>
                      <w:lang w:val="en-US" w:eastAsia="zh-CN"/>
                    </w:rPr>
                    <w:t>类型</w:t>
                  </w:r>
                </w:p>
              </w:tc>
              <w:tc>
                <w:tcPr>
                  <w:tcW w:w="1289" w:type="dxa"/>
                  <w:tcBorders>
                    <w:top w:val="single" w:color="auto" w:sz="8" w:space="0"/>
                    <w:bottom w:val="single" w:color="auto" w:sz="8" w:space="0"/>
                  </w:tcBorders>
                  <w:noWrap w:val="0"/>
                  <w:vAlign w:val="center"/>
                </w:tcPr>
                <w:p w14:paraId="38E8282A">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b/>
                      <w:color w:val="auto"/>
                      <w:szCs w:val="21"/>
                    </w:rPr>
                  </w:pPr>
                  <w:r>
                    <w:rPr>
                      <w:rFonts w:hint="default"/>
                      <w:b/>
                      <w:bCs/>
                      <w:color w:val="auto"/>
                      <w:lang w:val="en-US" w:eastAsia="zh-CN"/>
                    </w:rPr>
                    <w:t>废物名称</w:t>
                  </w:r>
                </w:p>
              </w:tc>
              <w:tc>
                <w:tcPr>
                  <w:tcW w:w="1588" w:type="dxa"/>
                  <w:tcBorders>
                    <w:top w:val="single" w:color="auto" w:sz="8" w:space="0"/>
                    <w:bottom w:val="single" w:color="auto" w:sz="8" w:space="0"/>
                  </w:tcBorders>
                  <w:noWrap w:val="0"/>
                  <w:vAlign w:val="center"/>
                </w:tcPr>
                <w:p w14:paraId="3B6D3166">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b/>
                      <w:color w:val="auto"/>
                      <w:szCs w:val="21"/>
                    </w:rPr>
                  </w:pPr>
                  <w:r>
                    <w:rPr>
                      <w:rFonts w:hint="default"/>
                      <w:b/>
                      <w:bCs/>
                      <w:color w:val="auto"/>
                      <w:lang w:val="en-US" w:eastAsia="zh-CN"/>
                    </w:rPr>
                    <w:t>产生工段</w:t>
                  </w:r>
                </w:p>
              </w:tc>
              <w:tc>
                <w:tcPr>
                  <w:tcW w:w="1062" w:type="dxa"/>
                  <w:tcBorders>
                    <w:top w:val="single" w:color="auto" w:sz="8" w:space="0"/>
                    <w:bottom w:val="single" w:color="auto" w:sz="8" w:space="0"/>
                  </w:tcBorders>
                  <w:noWrap w:val="0"/>
                  <w:vAlign w:val="center"/>
                </w:tcPr>
                <w:p w14:paraId="03F0F065">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b/>
                      <w:color w:val="auto"/>
                      <w:szCs w:val="21"/>
                    </w:rPr>
                  </w:pPr>
                  <w:r>
                    <w:rPr>
                      <w:rFonts w:hint="default"/>
                      <w:b/>
                      <w:bCs/>
                      <w:color w:val="auto"/>
                      <w:lang w:val="en-US" w:eastAsia="zh-CN"/>
                    </w:rPr>
                    <w:t>产生量(t/a)</w:t>
                  </w:r>
                </w:p>
              </w:tc>
              <w:tc>
                <w:tcPr>
                  <w:tcW w:w="2874" w:type="dxa"/>
                  <w:tcBorders>
                    <w:top w:val="single" w:color="auto" w:sz="8" w:space="0"/>
                    <w:bottom w:val="single" w:color="auto" w:sz="8" w:space="0"/>
                  </w:tcBorders>
                  <w:noWrap w:val="0"/>
                  <w:vAlign w:val="center"/>
                </w:tcPr>
                <w:p w14:paraId="57D6E3B6">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b/>
                      <w:color w:val="auto"/>
                      <w:szCs w:val="21"/>
                    </w:rPr>
                  </w:pPr>
                  <w:r>
                    <w:rPr>
                      <w:rFonts w:hint="default"/>
                      <w:b/>
                      <w:bCs/>
                      <w:color w:val="auto"/>
                      <w:lang w:val="en-US" w:eastAsia="zh-CN"/>
                    </w:rPr>
                    <w:t>处理处置方式及去向</w:t>
                  </w:r>
                </w:p>
              </w:tc>
            </w:tr>
            <w:tr w14:paraId="2690D13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restart"/>
                  <w:tcBorders>
                    <w:top w:val="single" w:color="auto" w:sz="8" w:space="0"/>
                  </w:tcBorders>
                  <w:noWrap w:val="0"/>
                  <w:vAlign w:val="center"/>
                </w:tcPr>
                <w:p w14:paraId="0B54E060">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color w:val="auto"/>
                      <w:szCs w:val="21"/>
                    </w:rPr>
                  </w:pPr>
                  <w:r>
                    <w:rPr>
                      <w:rFonts w:hint="default"/>
                      <w:color w:val="auto"/>
                      <w:lang w:val="en-US" w:eastAsia="zh-CN"/>
                    </w:rPr>
                    <w:t>一般固废</w:t>
                  </w:r>
                </w:p>
              </w:tc>
              <w:tc>
                <w:tcPr>
                  <w:tcW w:w="1289" w:type="dxa"/>
                  <w:tcBorders>
                    <w:top w:val="single" w:color="auto" w:sz="8" w:space="0"/>
                    <w:bottom w:val="single" w:color="auto" w:sz="4" w:space="0"/>
                  </w:tcBorders>
                  <w:noWrap w:val="0"/>
                  <w:vAlign w:val="center"/>
                </w:tcPr>
                <w:p w14:paraId="798A6324">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color w:val="auto"/>
                      <w:szCs w:val="21"/>
                    </w:rPr>
                  </w:pPr>
                  <w:r>
                    <w:rPr>
                      <w:rFonts w:hint="eastAsia" w:ascii="Times New Roman" w:hAnsi="Times New Roman" w:eastAsia="宋体" w:cs="Times New Roman"/>
                      <w:color w:val="auto"/>
                      <w:lang w:val="en-US" w:eastAsia="zh-CN"/>
                    </w:rPr>
                    <w:t>废包装材料</w:t>
                  </w:r>
                </w:p>
              </w:tc>
              <w:tc>
                <w:tcPr>
                  <w:tcW w:w="1588" w:type="dxa"/>
                  <w:tcBorders>
                    <w:top w:val="single" w:color="auto" w:sz="8" w:space="0"/>
                    <w:bottom w:val="single" w:color="auto" w:sz="4" w:space="0"/>
                  </w:tcBorders>
                  <w:noWrap w:val="0"/>
                  <w:vAlign w:val="center"/>
                </w:tcPr>
                <w:p w14:paraId="615B517C">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color w:val="auto"/>
                      <w:szCs w:val="21"/>
                      <w:lang w:val="en-US"/>
                    </w:rPr>
                  </w:pPr>
                  <w:r>
                    <w:rPr>
                      <w:rFonts w:hint="eastAsia"/>
                      <w:color w:val="auto"/>
                      <w:lang w:val="en-US" w:eastAsia="zh-CN"/>
                    </w:rPr>
                    <w:t>原料拆分过程、成品打包环节</w:t>
                  </w:r>
                </w:p>
              </w:tc>
              <w:tc>
                <w:tcPr>
                  <w:tcW w:w="1062" w:type="dxa"/>
                  <w:tcBorders>
                    <w:top w:val="single" w:color="auto" w:sz="8" w:space="0"/>
                    <w:bottom w:val="single" w:color="auto" w:sz="4" w:space="0"/>
                  </w:tcBorders>
                  <w:noWrap w:val="0"/>
                  <w:vAlign w:val="center"/>
                </w:tcPr>
                <w:p w14:paraId="4F5AB114">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color w:val="auto"/>
                      <w:szCs w:val="21"/>
                      <w:lang w:val="en-US"/>
                    </w:rPr>
                  </w:pPr>
                  <w:r>
                    <w:rPr>
                      <w:rFonts w:hint="eastAsia"/>
                      <w:color w:val="auto"/>
                      <w:lang w:val="en-US" w:eastAsia="zh-CN"/>
                    </w:rPr>
                    <w:t>0.5</w:t>
                  </w:r>
                </w:p>
              </w:tc>
              <w:tc>
                <w:tcPr>
                  <w:tcW w:w="2874" w:type="dxa"/>
                  <w:vMerge w:val="restart"/>
                  <w:tcBorders>
                    <w:top w:val="single" w:color="auto" w:sz="8" w:space="0"/>
                  </w:tcBorders>
                  <w:noWrap w:val="0"/>
                  <w:vAlign w:val="center"/>
                </w:tcPr>
                <w:p w14:paraId="57DD693E">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eastAsia="宋体"/>
                      <w:color w:val="auto"/>
                      <w:szCs w:val="21"/>
                      <w:lang w:eastAsia="zh-CN"/>
                    </w:rPr>
                  </w:pPr>
                  <w:r>
                    <w:rPr>
                      <w:rFonts w:hint="eastAsia"/>
                      <w:color w:val="auto"/>
                      <w:lang w:val="en-US" w:eastAsia="zh-CN"/>
                    </w:rPr>
                    <w:t>经收集后，在一般废物暂存间暂存，定期外售</w:t>
                  </w:r>
                </w:p>
              </w:tc>
            </w:tr>
            <w:tr w14:paraId="4CC43FA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1" w:type="dxa"/>
                  <w:vMerge w:val="continue"/>
                  <w:tcBorders>
                    <w:bottom w:val="single" w:color="auto" w:sz="8" w:space="0"/>
                  </w:tcBorders>
                  <w:noWrap w:val="0"/>
                  <w:vAlign w:val="center"/>
                </w:tcPr>
                <w:p w14:paraId="36D8A5E6">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color w:val="auto"/>
                      <w:lang w:val="en-US" w:eastAsia="zh-CN"/>
                    </w:rPr>
                  </w:pPr>
                </w:p>
              </w:tc>
              <w:tc>
                <w:tcPr>
                  <w:tcW w:w="1289" w:type="dxa"/>
                  <w:tcBorders>
                    <w:top w:val="single" w:color="auto" w:sz="4" w:space="0"/>
                    <w:bottom w:val="single" w:color="auto" w:sz="8" w:space="0"/>
                  </w:tcBorders>
                  <w:noWrap w:val="0"/>
                  <w:vAlign w:val="center"/>
                </w:tcPr>
                <w:p w14:paraId="740C78F7">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ascii="Times New Roman" w:hAnsi="Times New Roman" w:eastAsia="宋体" w:cs="Times New Roman"/>
                      <w:color w:val="auto"/>
                      <w:lang w:val="en-US" w:eastAsia="zh-CN"/>
                    </w:rPr>
                  </w:pPr>
                  <w:r>
                    <w:rPr>
                      <w:rFonts w:hint="eastAsia" w:cs="Times New Roman"/>
                      <w:color w:val="auto"/>
                      <w:lang w:val="en-US" w:eastAsia="zh-CN"/>
                    </w:rPr>
                    <w:t>不合格电池</w:t>
                  </w:r>
                </w:p>
              </w:tc>
              <w:tc>
                <w:tcPr>
                  <w:tcW w:w="1588" w:type="dxa"/>
                  <w:tcBorders>
                    <w:top w:val="single" w:color="auto" w:sz="4" w:space="0"/>
                    <w:bottom w:val="single" w:color="auto" w:sz="8" w:space="0"/>
                  </w:tcBorders>
                  <w:noWrap w:val="0"/>
                  <w:vAlign w:val="center"/>
                </w:tcPr>
                <w:p w14:paraId="2499BE43">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color w:val="auto"/>
                      <w:lang w:val="en-US" w:eastAsia="zh-CN"/>
                    </w:rPr>
                  </w:pPr>
                  <w:r>
                    <w:rPr>
                      <w:rFonts w:hint="eastAsia"/>
                      <w:color w:val="auto"/>
                      <w:lang w:val="en-US" w:eastAsia="zh-CN"/>
                    </w:rPr>
                    <w:t>电池检验</w:t>
                  </w:r>
                </w:p>
              </w:tc>
              <w:tc>
                <w:tcPr>
                  <w:tcW w:w="1062" w:type="dxa"/>
                  <w:tcBorders>
                    <w:top w:val="single" w:color="auto" w:sz="4" w:space="0"/>
                    <w:bottom w:val="single" w:color="auto" w:sz="8" w:space="0"/>
                  </w:tcBorders>
                  <w:noWrap w:val="0"/>
                  <w:vAlign w:val="center"/>
                </w:tcPr>
                <w:p w14:paraId="6941A850">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color w:val="auto"/>
                      <w:lang w:val="en-US" w:eastAsia="zh-CN"/>
                    </w:rPr>
                  </w:pPr>
                  <w:r>
                    <w:rPr>
                      <w:rFonts w:hint="eastAsia"/>
                      <w:color w:val="auto"/>
                      <w:lang w:val="en-US" w:eastAsia="zh-CN"/>
                    </w:rPr>
                    <w:t>0.181</w:t>
                  </w:r>
                </w:p>
              </w:tc>
              <w:tc>
                <w:tcPr>
                  <w:tcW w:w="2874" w:type="dxa"/>
                  <w:vMerge w:val="continue"/>
                  <w:tcBorders>
                    <w:bottom w:val="single" w:color="auto" w:sz="8" w:space="0"/>
                  </w:tcBorders>
                  <w:noWrap w:val="0"/>
                  <w:vAlign w:val="center"/>
                </w:tcPr>
                <w:p w14:paraId="3E84A68D">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color w:val="auto"/>
                      <w:lang w:val="en-US" w:eastAsia="zh-CN"/>
                    </w:rPr>
                  </w:pPr>
                </w:p>
              </w:tc>
            </w:tr>
          </w:tbl>
          <w:p w14:paraId="14CD1213">
            <w:pPr>
              <w:keepNext w:val="0"/>
              <w:keepLines w:val="0"/>
              <w:pageBreakBefore w:val="0"/>
              <w:kinsoku/>
              <w:wordWrap/>
              <w:overflowPunct/>
              <w:topLinePunct w:val="0"/>
              <w:autoSpaceDE/>
              <w:autoSpaceDN/>
              <w:bidi w:val="0"/>
              <w:spacing w:line="440" w:lineRule="atLeast"/>
              <w:ind w:firstLine="480" w:firstLineChars="200"/>
              <w:rPr>
                <w:bCs/>
                <w:color w:val="auto"/>
                <w:kern w:val="0"/>
                <w:sz w:val="24"/>
                <w:szCs w:val="22"/>
                <w:u w:val="none"/>
              </w:rPr>
            </w:pPr>
            <w:r>
              <w:rPr>
                <w:rFonts w:hint="eastAsia"/>
                <w:bCs/>
                <w:color w:val="auto"/>
                <w:kern w:val="0"/>
                <w:sz w:val="24"/>
                <w:szCs w:val="22"/>
                <w:lang w:val="en-US" w:eastAsia="zh-CN"/>
              </w:rPr>
              <w:t>本项目建成后应建设1座固废暂存间，建筑面积5m</w:t>
            </w:r>
            <w:r>
              <w:rPr>
                <w:rFonts w:hint="eastAsia"/>
                <w:bCs/>
                <w:color w:val="auto"/>
                <w:kern w:val="0"/>
                <w:sz w:val="24"/>
                <w:szCs w:val="22"/>
                <w:vertAlign w:val="superscript"/>
                <w:lang w:val="en-US" w:eastAsia="zh-CN"/>
              </w:rPr>
              <w:t>2</w:t>
            </w:r>
            <w:r>
              <w:rPr>
                <w:rFonts w:hint="eastAsia"/>
                <w:bCs/>
                <w:color w:val="auto"/>
                <w:kern w:val="0"/>
                <w:sz w:val="24"/>
                <w:szCs w:val="22"/>
                <w:lang w:eastAsia="zh-CN"/>
              </w:rPr>
              <w:t>，</w:t>
            </w:r>
            <w:r>
              <w:rPr>
                <w:bCs/>
                <w:color w:val="auto"/>
                <w:kern w:val="0"/>
                <w:sz w:val="24"/>
                <w:szCs w:val="22"/>
              </w:rPr>
              <w:t>严</w:t>
            </w:r>
            <w:r>
              <w:rPr>
                <w:bCs/>
                <w:color w:val="auto"/>
                <w:kern w:val="0"/>
                <w:sz w:val="24"/>
                <w:szCs w:val="22"/>
                <w:u w:val="none"/>
              </w:rPr>
              <w:t>格按照</w:t>
            </w:r>
            <w:r>
              <w:rPr>
                <w:color w:val="auto"/>
                <w:sz w:val="24"/>
                <w:u w:val="none"/>
              </w:rPr>
              <w:t>《一般工业固体废物贮存和填埋污染控制标准》（GB18599-2020）</w:t>
            </w:r>
            <w:r>
              <w:rPr>
                <w:bCs/>
                <w:color w:val="auto"/>
                <w:kern w:val="0"/>
                <w:sz w:val="24"/>
                <w:szCs w:val="22"/>
                <w:u w:val="none"/>
              </w:rPr>
              <w:t>的相关要求建设并做好“三防”措施。各类一般固废分类收集后暂存在一般固废暂存间，及时清运，缩短在厂区堆存时间。</w:t>
            </w:r>
          </w:p>
          <w:p w14:paraId="2E1808BC">
            <w:pPr>
              <w:keepNext w:val="0"/>
              <w:keepLines w:val="0"/>
              <w:pageBreakBefore w:val="0"/>
              <w:kinsoku/>
              <w:wordWrap/>
              <w:overflowPunct/>
              <w:topLinePunct w:val="0"/>
              <w:autoSpaceDE/>
              <w:autoSpaceDN/>
              <w:bidi w:val="0"/>
              <w:spacing w:line="440" w:lineRule="atLeast"/>
              <w:ind w:firstLine="480" w:firstLineChars="200"/>
              <w:rPr>
                <w:bCs/>
                <w:color w:val="auto"/>
                <w:kern w:val="0"/>
                <w:sz w:val="24"/>
                <w:szCs w:val="22"/>
              </w:rPr>
            </w:pPr>
            <w:r>
              <w:rPr>
                <w:bCs/>
                <w:color w:val="auto"/>
                <w:kern w:val="0"/>
                <w:sz w:val="24"/>
                <w:szCs w:val="22"/>
                <w:u w:val="none"/>
              </w:rPr>
              <w:t>根据</w:t>
            </w:r>
            <w:r>
              <w:rPr>
                <w:color w:val="auto"/>
                <w:sz w:val="24"/>
                <w:u w:val="none"/>
              </w:rPr>
              <w:t>《一般工业固体废物贮存和填埋污染控制标准》（GB18599-2020）</w:t>
            </w:r>
            <w:r>
              <w:rPr>
                <w:bCs/>
                <w:color w:val="auto"/>
                <w:kern w:val="0"/>
                <w:sz w:val="24"/>
                <w:szCs w:val="22"/>
                <w:u w:val="none"/>
              </w:rPr>
              <w:t>相关要求，结合项目情况，本评价对一般固废暂存间</w:t>
            </w:r>
            <w:r>
              <w:rPr>
                <w:bCs/>
                <w:color w:val="auto"/>
                <w:kern w:val="0"/>
                <w:sz w:val="24"/>
                <w:szCs w:val="22"/>
              </w:rPr>
              <w:t>提出以下要求：</w:t>
            </w:r>
          </w:p>
          <w:p w14:paraId="2F63A62D">
            <w:pPr>
              <w:keepNext w:val="0"/>
              <w:keepLines w:val="0"/>
              <w:pageBreakBefore w:val="0"/>
              <w:kinsoku/>
              <w:wordWrap/>
              <w:overflowPunct/>
              <w:topLinePunct w:val="0"/>
              <w:autoSpaceDE/>
              <w:autoSpaceDN/>
              <w:bidi w:val="0"/>
              <w:spacing w:line="440" w:lineRule="atLeast"/>
              <w:ind w:firstLine="480" w:firstLineChars="200"/>
              <w:rPr>
                <w:bCs/>
                <w:color w:val="auto"/>
                <w:kern w:val="0"/>
                <w:sz w:val="24"/>
                <w:szCs w:val="22"/>
              </w:rPr>
            </w:pPr>
            <w:r>
              <w:rPr>
                <w:rFonts w:hint="default" w:ascii="Times New Roman" w:hAnsi="Times New Roman" w:eastAsia="宋体" w:cs="Times New Roman"/>
                <w:bCs/>
                <w:color w:val="auto"/>
                <w:kern w:val="0"/>
                <w:sz w:val="24"/>
                <w:szCs w:val="22"/>
              </w:rPr>
              <w:t>①</w:t>
            </w:r>
            <w:r>
              <w:rPr>
                <w:bCs/>
                <w:color w:val="auto"/>
                <w:kern w:val="0"/>
                <w:sz w:val="24"/>
                <w:szCs w:val="22"/>
              </w:rPr>
              <w:t>应采取全密闭设计，确保防风、防雨、防晒。</w:t>
            </w:r>
          </w:p>
          <w:p w14:paraId="5D04F58D">
            <w:pPr>
              <w:keepNext w:val="0"/>
              <w:keepLines w:val="0"/>
              <w:pageBreakBefore w:val="0"/>
              <w:kinsoku/>
              <w:wordWrap/>
              <w:overflowPunct/>
              <w:topLinePunct w:val="0"/>
              <w:autoSpaceDE/>
              <w:autoSpaceDN/>
              <w:bidi w:val="0"/>
              <w:spacing w:line="440" w:lineRule="atLeast"/>
              <w:ind w:firstLine="480" w:firstLineChars="200"/>
              <w:rPr>
                <w:bCs/>
                <w:color w:val="auto"/>
                <w:kern w:val="0"/>
                <w:sz w:val="24"/>
                <w:szCs w:val="22"/>
              </w:rPr>
            </w:pPr>
            <w:r>
              <w:rPr>
                <w:bCs/>
                <w:color w:val="auto"/>
                <w:kern w:val="0"/>
                <w:sz w:val="24"/>
                <w:szCs w:val="22"/>
              </w:rPr>
              <w:fldChar w:fldCharType="begin"/>
            </w:r>
            <w:r>
              <w:rPr>
                <w:bCs/>
                <w:color w:val="auto"/>
                <w:kern w:val="0"/>
                <w:sz w:val="24"/>
                <w:szCs w:val="22"/>
              </w:rPr>
              <w:instrText xml:space="preserve"> = 2 \* GB3 </w:instrText>
            </w:r>
            <w:r>
              <w:rPr>
                <w:bCs/>
                <w:color w:val="auto"/>
                <w:kern w:val="0"/>
                <w:sz w:val="24"/>
                <w:szCs w:val="22"/>
              </w:rPr>
              <w:fldChar w:fldCharType="separate"/>
            </w:r>
            <w:r>
              <w:rPr>
                <w:rFonts w:hint="eastAsia"/>
                <w:bCs/>
                <w:color w:val="auto"/>
                <w:kern w:val="0"/>
                <w:sz w:val="24"/>
                <w:szCs w:val="22"/>
              </w:rPr>
              <w:t>②</w:t>
            </w:r>
            <w:r>
              <w:rPr>
                <w:bCs/>
                <w:color w:val="auto"/>
                <w:kern w:val="0"/>
                <w:sz w:val="24"/>
                <w:szCs w:val="22"/>
              </w:rPr>
              <w:fldChar w:fldCharType="end"/>
            </w:r>
            <w:r>
              <w:rPr>
                <w:bCs/>
                <w:color w:val="auto"/>
                <w:kern w:val="0"/>
                <w:sz w:val="24"/>
                <w:szCs w:val="22"/>
              </w:rPr>
              <w:t>禁止其他固废废物或生活垃圾混入。</w:t>
            </w:r>
          </w:p>
          <w:p w14:paraId="2AA9ED4D">
            <w:pPr>
              <w:keepNext w:val="0"/>
              <w:keepLines w:val="0"/>
              <w:pageBreakBefore w:val="0"/>
              <w:kinsoku/>
              <w:wordWrap/>
              <w:overflowPunct/>
              <w:topLinePunct w:val="0"/>
              <w:autoSpaceDE/>
              <w:autoSpaceDN/>
              <w:bidi w:val="0"/>
              <w:spacing w:line="440" w:lineRule="atLeast"/>
              <w:ind w:firstLine="480" w:firstLineChars="200"/>
              <w:rPr>
                <w:bCs/>
                <w:color w:val="auto"/>
                <w:kern w:val="0"/>
                <w:sz w:val="24"/>
                <w:szCs w:val="22"/>
              </w:rPr>
            </w:pPr>
            <w:r>
              <w:rPr>
                <w:bCs/>
                <w:color w:val="auto"/>
                <w:kern w:val="0"/>
                <w:sz w:val="24"/>
                <w:szCs w:val="22"/>
              </w:rPr>
              <w:fldChar w:fldCharType="begin"/>
            </w:r>
            <w:r>
              <w:rPr>
                <w:bCs/>
                <w:color w:val="auto"/>
                <w:kern w:val="0"/>
                <w:sz w:val="24"/>
                <w:szCs w:val="22"/>
              </w:rPr>
              <w:instrText xml:space="preserve"> = 3 \* GB3 </w:instrText>
            </w:r>
            <w:r>
              <w:rPr>
                <w:bCs/>
                <w:color w:val="auto"/>
                <w:kern w:val="0"/>
                <w:sz w:val="24"/>
                <w:szCs w:val="22"/>
              </w:rPr>
              <w:fldChar w:fldCharType="separate"/>
            </w:r>
            <w:r>
              <w:rPr>
                <w:rFonts w:hint="eastAsia"/>
                <w:bCs/>
                <w:color w:val="auto"/>
                <w:kern w:val="0"/>
                <w:sz w:val="24"/>
                <w:szCs w:val="22"/>
              </w:rPr>
              <w:t>③</w:t>
            </w:r>
            <w:r>
              <w:rPr>
                <w:bCs/>
                <w:color w:val="auto"/>
                <w:kern w:val="0"/>
                <w:sz w:val="24"/>
                <w:szCs w:val="22"/>
              </w:rPr>
              <w:fldChar w:fldCharType="end"/>
            </w:r>
            <w:r>
              <w:rPr>
                <w:bCs/>
                <w:color w:val="auto"/>
                <w:kern w:val="0"/>
                <w:sz w:val="24"/>
                <w:szCs w:val="22"/>
              </w:rPr>
              <w:t>做好基础防渗，采用钢筋混凝土防渗，确保渗透系数≤1×10</w:t>
            </w:r>
            <w:r>
              <w:rPr>
                <w:bCs/>
                <w:color w:val="auto"/>
                <w:kern w:val="0"/>
                <w:sz w:val="24"/>
                <w:szCs w:val="22"/>
                <w:vertAlign w:val="superscript"/>
              </w:rPr>
              <w:t>-7</w:t>
            </w:r>
            <w:r>
              <w:rPr>
                <w:bCs/>
                <w:color w:val="auto"/>
                <w:kern w:val="0"/>
                <w:sz w:val="24"/>
                <w:szCs w:val="22"/>
              </w:rPr>
              <w:t>cm/s。</w:t>
            </w:r>
          </w:p>
          <w:p w14:paraId="7607EE81">
            <w:pPr>
              <w:keepNext w:val="0"/>
              <w:keepLines w:val="0"/>
              <w:pageBreakBefore w:val="0"/>
              <w:kinsoku/>
              <w:wordWrap/>
              <w:overflowPunct/>
              <w:topLinePunct w:val="0"/>
              <w:autoSpaceDE/>
              <w:autoSpaceDN/>
              <w:bidi w:val="0"/>
              <w:spacing w:line="440" w:lineRule="atLeast"/>
              <w:ind w:firstLine="480" w:firstLineChars="200"/>
              <w:rPr>
                <w:rFonts w:hint="eastAsia" w:ascii="Times New Roman" w:hAnsi="Times New Roman" w:eastAsia="宋体" w:cs="Times New Roman"/>
                <w:color w:val="auto"/>
                <w:sz w:val="24"/>
                <w:highlight w:val="none"/>
                <w:lang w:eastAsia="zh-CN"/>
              </w:rPr>
            </w:pPr>
            <w:r>
              <w:rPr>
                <w:bCs/>
                <w:color w:val="auto"/>
                <w:kern w:val="0"/>
                <w:sz w:val="24"/>
                <w:szCs w:val="22"/>
              </w:rPr>
              <w:fldChar w:fldCharType="begin"/>
            </w:r>
            <w:r>
              <w:rPr>
                <w:bCs/>
                <w:color w:val="auto"/>
                <w:kern w:val="0"/>
                <w:sz w:val="24"/>
                <w:szCs w:val="22"/>
              </w:rPr>
              <w:instrText xml:space="preserve"> = 4 \* GB3 </w:instrText>
            </w:r>
            <w:r>
              <w:rPr>
                <w:bCs/>
                <w:color w:val="auto"/>
                <w:kern w:val="0"/>
                <w:sz w:val="24"/>
                <w:szCs w:val="22"/>
              </w:rPr>
              <w:fldChar w:fldCharType="separate"/>
            </w:r>
            <w:r>
              <w:rPr>
                <w:rFonts w:hint="eastAsia"/>
                <w:bCs/>
                <w:color w:val="auto"/>
                <w:kern w:val="0"/>
                <w:sz w:val="24"/>
                <w:szCs w:val="22"/>
              </w:rPr>
              <w:t>④</w:t>
            </w:r>
            <w:r>
              <w:rPr>
                <w:bCs/>
                <w:color w:val="auto"/>
                <w:kern w:val="0"/>
                <w:sz w:val="24"/>
                <w:szCs w:val="22"/>
              </w:rPr>
              <w:fldChar w:fldCharType="end"/>
            </w:r>
            <w:r>
              <w:rPr>
                <w:bCs/>
                <w:color w:val="auto"/>
                <w:kern w:val="0"/>
                <w:sz w:val="24"/>
                <w:szCs w:val="22"/>
              </w:rPr>
              <w:t>加强管理，</w:t>
            </w:r>
            <w:r>
              <w:rPr>
                <w:bCs/>
                <w:color w:val="auto"/>
                <w:kern w:val="0"/>
                <w:sz w:val="24"/>
                <w:szCs w:val="22"/>
                <w:highlight w:val="none"/>
              </w:rPr>
              <w:t>按《环境保护图形标志－固体废物贮存（处置）场》（GB15562.2-1995）规定设置环境保护图形标志。</w:t>
            </w:r>
          </w:p>
          <w:p w14:paraId="1CE5A2D1">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baseline"/>
              <w:rPr>
                <w:rFonts w:hint="default" w:ascii="Times New Roman" w:hAnsi="Times New Roman" w:eastAsia="宋体" w:cs="Times New Roman"/>
                <w:b/>
                <w:color w:val="auto"/>
                <w:sz w:val="24"/>
                <w:highlight w:val="none"/>
                <w:lang w:val="en-US" w:eastAsia="zh-CN"/>
              </w:rPr>
            </w:pPr>
            <w:r>
              <w:rPr>
                <w:rFonts w:hint="eastAsia" w:cs="Times New Roman"/>
                <w:b/>
                <w:color w:val="auto"/>
                <w:sz w:val="24"/>
                <w:highlight w:val="none"/>
                <w:lang w:val="en-US" w:eastAsia="zh-CN"/>
              </w:rPr>
              <w:t>五</w:t>
            </w:r>
            <w:r>
              <w:rPr>
                <w:rFonts w:hint="eastAsia" w:ascii="Times New Roman" w:hAnsi="Times New Roman" w:eastAsia="宋体" w:cs="Times New Roman"/>
                <w:b/>
                <w:color w:val="auto"/>
                <w:sz w:val="24"/>
                <w:highlight w:val="none"/>
                <w:lang w:val="en-US" w:eastAsia="zh-CN"/>
              </w:rPr>
              <w:t>、</w:t>
            </w:r>
            <w:r>
              <w:rPr>
                <w:rFonts w:hint="eastAsia" w:ascii="Times New Roman" w:hAnsi="Times New Roman" w:eastAsia="宋体" w:cs="Times New Roman"/>
                <w:b/>
                <w:color w:val="auto"/>
                <w:sz w:val="24"/>
                <w:highlight w:val="none"/>
              </w:rPr>
              <w:t>土壤及地下水环境影响及保护措施</w:t>
            </w:r>
          </w:p>
          <w:p w14:paraId="3C71A6B3">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rPr>
                <w:rFonts w:hint="default" w:ascii="宋体" w:hAnsi="宋体" w:eastAsia="宋体" w:cs="Times New Roman"/>
                <w:bCs/>
                <w:color w:val="auto"/>
                <w:sz w:val="24"/>
                <w:highlight w:val="none"/>
                <w:lang w:val="en-US" w:eastAsia="zh-CN"/>
              </w:rPr>
            </w:pPr>
            <w:r>
              <w:rPr>
                <w:rFonts w:hint="eastAsia" w:ascii="宋体" w:hAnsi="宋体" w:cs="Times New Roman"/>
                <w:bCs/>
                <w:color w:val="auto"/>
                <w:sz w:val="24"/>
                <w:highlight w:val="none"/>
                <w:lang w:val="en-US" w:eastAsia="zh-CN"/>
              </w:rPr>
              <w:t>本项目不涉及土壤及地下水，故不作分析。</w:t>
            </w:r>
          </w:p>
          <w:p w14:paraId="27412574">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baseline"/>
              <w:rPr>
                <w:rFonts w:hint="eastAsia" w:ascii="Times New Roman" w:hAnsi="Times New Roman" w:eastAsia="宋体" w:cs="Times New Roman"/>
                <w:b/>
                <w:color w:val="auto"/>
                <w:sz w:val="24"/>
                <w:highlight w:val="none"/>
                <w:lang w:val="en-US" w:eastAsia="zh-CN"/>
              </w:rPr>
            </w:pPr>
            <w:r>
              <w:rPr>
                <w:rFonts w:hint="eastAsia" w:cs="Times New Roman"/>
                <w:b/>
                <w:color w:val="auto"/>
                <w:sz w:val="24"/>
                <w:highlight w:val="none"/>
                <w:lang w:val="en-US" w:eastAsia="zh-CN"/>
              </w:rPr>
              <w:t>六</w:t>
            </w:r>
            <w:r>
              <w:rPr>
                <w:rFonts w:hint="eastAsia" w:ascii="Times New Roman" w:hAnsi="Times New Roman" w:eastAsia="宋体" w:cs="Times New Roman"/>
                <w:b/>
                <w:color w:val="auto"/>
                <w:sz w:val="24"/>
                <w:highlight w:val="none"/>
                <w:lang w:val="en-US" w:eastAsia="zh-CN"/>
              </w:rPr>
              <w:t>、生态环境</w:t>
            </w:r>
          </w:p>
          <w:p w14:paraId="421885C0">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rPr>
                <w:color w:val="auto"/>
              </w:rPr>
            </w:pPr>
            <w:r>
              <w:rPr>
                <w:rFonts w:hint="eastAsia" w:ascii="宋体" w:hAnsi="宋体" w:eastAsia="宋体" w:cs="Times New Roman"/>
                <w:bCs/>
                <w:color w:val="auto"/>
                <w:sz w:val="24"/>
                <w:highlight w:val="none"/>
                <w:lang w:val="en-US" w:eastAsia="zh-CN"/>
              </w:rPr>
              <w:t>本项目为新建项目，利用已建成车间进行建设，无新增用地，同时根据调查，目前项目用地范围内无生态环境保护目标，项目建设不会对周边生态环境产生较大影响。</w:t>
            </w:r>
          </w:p>
          <w:p w14:paraId="5F56AC0D">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baseline"/>
              <w:rPr>
                <w:rFonts w:hint="eastAsia" w:ascii="Times New Roman" w:hAnsi="Times New Roman" w:eastAsia="宋体" w:cs="Times New Roman"/>
                <w:b/>
                <w:color w:val="auto"/>
                <w:sz w:val="24"/>
                <w:highlight w:val="none"/>
                <w:lang w:val="en-US" w:eastAsia="zh-CN"/>
              </w:rPr>
            </w:pPr>
            <w:r>
              <w:rPr>
                <w:rFonts w:hint="eastAsia" w:cs="Times New Roman"/>
                <w:b/>
                <w:color w:val="auto"/>
                <w:sz w:val="24"/>
                <w:highlight w:val="none"/>
                <w:lang w:val="en-US" w:eastAsia="zh-CN"/>
              </w:rPr>
              <w:t>七</w:t>
            </w:r>
            <w:r>
              <w:rPr>
                <w:rFonts w:hint="eastAsia" w:ascii="Times New Roman" w:hAnsi="Times New Roman" w:eastAsia="宋体" w:cs="Times New Roman"/>
                <w:b/>
                <w:color w:val="auto"/>
                <w:sz w:val="24"/>
                <w:highlight w:val="none"/>
                <w:lang w:val="en-US" w:eastAsia="zh-CN"/>
              </w:rPr>
              <w:t xml:space="preserve">、环境风险分析 </w:t>
            </w:r>
          </w:p>
          <w:p w14:paraId="2F9B959E">
            <w:pPr>
              <w:keepNext w:val="0"/>
              <w:keepLines w:val="0"/>
              <w:pageBreakBefore w:val="0"/>
              <w:widowControl w:val="0"/>
              <w:suppressLineNumbers w:val="0"/>
              <w:tabs>
                <w:tab w:val="left" w:pos="3620"/>
              </w:tabs>
              <w:kinsoku/>
              <w:wordWrap/>
              <w:overflowPunct/>
              <w:topLinePunct w:val="0"/>
              <w:autoSpaceDE/>
              <w:autoSpaceDN/>
              <w:bidi w:val="0"/>
              <w:adjustRightInd w:val="0"/>
              <w:snapToGrid w:val="0"/>
              <w:spacing w:before="50" w:beforeLines="50" w:beforeAutospacing="0" w:after="0" w:afterAutospacing="0" w:line="360" w:lineRule="auto"/>
              <w:ind w:left="0" w:leftChars="0" w:right="0" w:firstLine="482" w:firstLineChars="200"/>
              <w:jc w:val="both"/>
              <w:textAlignment w:val="auto"/>
              <w:rPr>
                <w:rFonts w:hint="default" w:ascii="Times New Roman" w:hAnsi="Times New Roman" w:eastAsia="宋体" w:cs="Times New Roman"/>
                <w:b/>
                <w:bCs/>
                <w:color w:val="auto"/>
                <w:sz w:val="24"/>
                <w:szCs w:val="24"/>
                <w:highlight w:val="none"/>
                <w:u w:val="none" w:color="auto"/>
                <w:lang w:val="en-US" w:eastAsia="zh-CN"/>
              </w:rPr>
            </w:pPr>
            <w:r>
              <w:rPr>
                <w:rFonts w:hint="default" w:ascii="Times New Roman" w:hAnsi="Times New Roman" w:eastAsia="宋体" w:cs="Times New Roman"/>
                <w:b/>
                <w:bCs/>
                <w:color w:val="auto"/>
                <w:sz w:val="24"/>
                <w:szCs w:val="24"/>
                <w:highlight w:val="none"/>
                <w:u w:val="none" w:color="auto"/>
                <w:lang w:val="en-US" w:eastAsia="zh-CN"/>
              </w:rPr>
              <w:t>（1）环境源调查</w:t>
            </w:r>
          </w:p>
          <w:p w14:paraId="53DF72B2">
            <w:pPr>
              <w:keepNext w:val="0"/>
              <w:keepLines w:val="0"/>
              <w:pageBreakBefore w:val="0"/>
              <w:widowControl w:val="0"/>
              <w:suppressLineNumbers w:val="0"/>
              <w:tabs>
                <w:tab w:val="left" w:pos="3620"/>
              </w:tabs>
              <w:kinsoku/>
              <w:wordWrap/>
              <w:overflowPunct/>
              <w:topLinePunct w:val="0"/>
              <w:autoSpaceDE/>
              <w:autoSpaceDN/>
              <w:bidi w:val="0"/>
              <w:adjustRightInd w:val="0"/>
              <w:snapToGrid w:val="0"/>
              <w:spacing w:before="50" w:beforeLines="5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bCs/>
                <w:color w:val="auto"/>
                <w:sz w:val="24"/>
                <w:highlight w:val="none"/>
                <w:lang w:val="en-US" w:eastAsia="zh-CN"/>
              </w:rPr>
            </w:pPr>
            <w:r>
              <w:rPr>
                <w:rFonts w:hint="eastAsia"/>
                <w:color w:val="auto"/>
                <w:sz w:val="24"/>
                <w:szCs w:val="32"/>
              </w:rPr>
              <w:t>对照《建设项目环境风险评价技术导则》（</w:t>
            </w:r>
            <w:r>
              <w:rPr>
                <w:color w:val="auto"/>
                <w:sz w:val="24"/>
                <w:szCs w:val="32"/>
              </w:rPr>
              <w:t>HJ169-2018</w:t>
            </w:r>
            <w:r>
              <w:rPr>
                <w:rFonts w:hint="eastAsia"/>
                <w:color w:val="auto"/>
                <w:sz w:val="24"/>
                <w:szCs w:val="32"/>
              </w:rPr>
              <w:t>）中附录</w:t>
            </w:r>
            <w:r>
              <w:rPr>
                <w:color w:val="auto"/>
                <w:sz w:val="24"/>
                <w:szCs w:val="32"/>
              </w:rPr>
              <w:t>B</w:t>
            </w:r>
            <w:r>
              <w:rPr>
                <w:rFonts w:hint="eastAsia"/>
                <w:color w:val="auto"/>
                <w:sz w:val="24"/>
                <w:szCs w:val="32"/>
              </w:rPr>
              <w:t>，确定本项目涉及的风险物质主要为</w:t>
            </w:r>
            <w:r>
              <w:rPr>
                <w:rFonts w:hint="eastAsia"/>
                <w:color w:val="auto"/>
                <w:sz w:val="24"/>
                <w:szCs w:val="32"/>
                <w:lang w:val="en-US" w:eastAsia="zh-CN"/>
              </w:rPr>
              <w:t>电解液，电解液主要成分为30%的氢氧化钾溶液</w:t>
            </w:r>
            <w:r>
              <w:rPr>
                <w:rFonts w:hint="default" w:ascii="Times New Roman" w:hAnsi="Times New Roman" w:eastAsia="宋体" w:cs="Times New Roman"/>
                <w:bCs/>
                <w:color w:val="auto"/>
                <w:sz w:val="32"/>
                <w:szCs w:val="32"/>
                <w:highlight w:val="none"/>
                <w:lang w:val="en-US" w:eastAsia="zh-CN"/>
              </w:rPr>
              <w:t>。</w:t>
            </w:r>
          </w:p>
          <w:p w14:paraId="7027E9C6">
            <w:pPr>
              <w:pStyle w:val="7"/>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val="0"/>
                <w:color w:val="auto"/>
                <w:kern w:val="2"/>
                <w:sz w:val="24"/>
                <w:szCs w:val="24"/>
                <w:highlight w:val="none"/>
                <w:lang w:val="zh-CN" w:eastAsia="zh-CN" w:bidi="ar-SA"/>
              </w:rPr>
            </w:pPr>
            <w:r>
              <w:rPr>
                <w:rFonts w:hint="default" w:ascii="Times New Roman" w:hAnsi="Times New Roman" w:eastAsia="黑体" w:cs="Times New Roman"/>
                <w:b w:val="0"/>
                <w:color w:val="auto"/>
                <w:kern w:val="2"/>
                <w:sz w:val="24"/>
                <w:szCs w:val="24"/>
                <w:highlight w:val="none"/>
                <w:lang w:val="en-US" w:eastAsia="zh-CN" w:bidi="ar-SA"/>
              </w:rPr>
              <w:t>表</w:t>
            </w:r>
            <w:r>
              <w:rPr>
                <w:rFonts w:hint="eastAsia" w:eastAsia="黑体" w:cs="Times New Roman"/>
                <w:b w:val="0"/>
                <w:color w:val="auto"/>
                <w:kern w:val="2"/>
                <w:sz w:val="24"/>
                <w:szCs w:val="24"/>
                <w:highlight w:val="none"/>
                <w:lang w:val="en-US" w:eastAsia="zh-CN" w:bidi="ar-SA"/>
              </w:rPr>
              <w:t>21</w:t>
            </w:r>
            <w:r>
              <w:rPr>
                <w:rFonts w:hint="default" w:ascii="Times New Roman" w:hAnsi="Times New Roman" w:eastAsia="黑体" w:cs="Times New Roman"/>
                <w:b w:val="0"/>
                <w:color w:val="auto"/>
                <w:kern w:val="2"/>
                <w:sz w:val="24"/>
                <w:szCs w:val="24"/>
                <w:highlight w:val="none"/>
                <w:lang w:val="en-US" w:eastAsia="zh-CN" w:bidi="ar-SA"/>
              </w:rPr>
              <w:t xml:space="preserve">   </w:t>
            </w:r>
            <w:r>
              <w:rPr>
                <w:rFonts w:hint="default" w:ascii="Times New Roman" w:hAnsi="Times New Roman" w:eastAsia="黑体" w:cs="Times New Roman"/>
                <w:b w:val="0"/>
                <w:color w:val="auto"/>
                <w:kern w:val="2"/>
                <w:sz w:val="24"/>
                <w:szCs w:val="24"/>
                <w:highlight w:val="none"/>
                <w:lang w:val="zh-CN" w:eastAsia="zh-CN" w:bidi="ar-SA"/>
              </w:rPr>
              <w:t>项目危险物质存在情况一览表</w:t>
            </w:r>
          </w:p>
          <w:tbl>
            <w:tblPr>
              <w:tblStyle w:val="17"/>
              <w:tblW w:w="7946"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25"/>
              <w:gridCol w:w="1010"/>
              <w:gridCol w:w="925"/>
              <w:gridCol w:w="1256"/>
              <w:gridCol w:w="1190"/>
              <w:gridCol w:w="2640"/>
            </w:tblGrid>
            <w:tr w14:paraId="1D8763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925" w:type="dxa"/>
                  <w:tcBorders>
                    <w:top w:val="single" w:color="auto" w:sz="8" w:space="0"/>
                    <w:bottom w:val="single" w:color="auto" w:sz="8" w:space="0"/>
                  </w:tcBorders>
                  <w:noWrap w:val="0"/>
                  <w:vAlign w:val="center"/>
                </w:tcPr>
                <w:p w14:paraId="0858AD1B">
                  <w:pPr>
                    <w:pStyle w:val="22"/>
                    <w:bidi w:val="0"/>
                    <w:rPr>
                      <w:b/>
                      <w:bCs/>
                      <w:color w:val="auto"/>
                    </w:rPr>
                  </w:pPr>
                  <w:r>
                    <w:rPr>
                      <w:b/>
                      <w:bCs/>
                      <w:color w:val="auto"/>
                    </w:rPr>
                    <w:t>品名</w:t>
                  </w:r>
                </w:p>
              </w:tc>
              <w:tc>
                <w:tcPr>
                  <w:tcW w:w="7021" w:type="dxa"/>
                  <w:gridSpan w:val="5"/>
                  <w:tcBorders>
                    <w:top w:val="single" w:color="auto" w:sz="8" w:space="0"/>
                    <w:bottom w:val="single" w:color="auto" w:sz="8" w:space="0"/>
                  </w:tcBorders>
                  <w:noWrap w:val="0"/>
                  <w:vAlign w:val="center"/>
                </w:tcPr>
                <w:p w14:paraId="02A5E882">
                  <w:pPr>
                    <w:pStyle w:val="22"/>
                    <w:bidi w:val="0"/>
                    <w:rPr>
                      <w:b/>
                      <w:bCs/>
                      <w:color w:val="auto"/>
                    </w:rPr>
                  </w:pPr>
                  <w:r>
                    <w:rPr>
                      <w:b/>
                      <w:bCs/>
                      <w:color w:val="auto"/>
                    </w:rPr>
                    <w:t>特性</w:t>
                  </w:r>
                </w:p>
              </w:tc>
            </w:tr>
            <w:tr w14:paraId="1F3C62B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25" w:type="dxa"/>
                  <w:vMerge w:val="restart"/>
                  <w:tcBorders>
                    <w:top w:val="single" w:color="auto" w:sz="8" w:space="0"/>
                    <w:tl2br w:val="nil"/>
                    <w:tr2bl w:val="nil"/>
                  </w:tcBorders>
                  <w:noWrap w:val="0"/>
                  <w:vAlign w:val="center"/>
                </w:tcPr>
                <w:p w14:paraId="42AA019A">
                  <w:pPr>
                    <w:pStyle w:val="22"/>
                    <w:bidi w:val="0"/>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氢氧化钾</w:t>
                  </w:r>
                </w:p>
              </w:tc>
              <w:tc>
                <w:tcPr>
                  <w:tcW w:w="1010" w:type="dxa"/>
                  <w:tcBorders>
                    <w:top w:val="single" w:color="auto" w:sz="8" w:space="0"/>
                    <w:tl2br w:val="nil"/>
                    <w:tr2bl w:val="nil"/>
                  </w:tcBorders>
                  <w:noWrap w:val="0"/>
                  <w:vAlign w:val="center"/>
                </w:tcPr>
                <w:p w14:paraId="23D9A3EA">
                  <w:pPr>
                    <w:pStyle w:val="22"/>
                    <w:bidi w:val="0"/>
                    <w:rPr>
                      <w:rFonts w:hint="default" w:ascii="Times New Roman" w:hAnsi="Times New Roman" w:cs="Times New Roman"/>
                      <w:color w:val="auto"/>
                    </w:rPr>
                  </w:pPr>
                  <w:r>
                    <w:rPr>
                      <w:rFonts w:hint="default" w:ascii="Times New Roman" w:hAnsi="Times New Roman" w:cs="Times New Roman"/>
                      <w:color w:val="auto"/>
                    </w:rPr>
                    <w:t>主要成分分子式</w:t>
                  </w:r>
                </w:p>
              </w:tc>
              <w:tc>
                <w:tcPr>
                  <w:tcW w:w="6011" w:type="dxa"/>
                  <w:gridSpan w:val="4"/>
                  <w:tcBorders>
                    <w:top w:val="single" w:color="auto" w:sz="8" w:space="0"/>
                    <w:tl2br w:val="nil"/>
                    <w:tr2bl w:val="nil"/>
                  </w:tcBorders>
                  <w:noWrap w:val="0"/>
                  <w:vAlign w:val="center"/>
                </w:tcPr>
                <w:p w14:paraId="087CC6F2">
                  <w:pPr>
                    <w:pStyle w:val="22"/>
                    <w:bidi w:val="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KOH</w:t>
                  </w:r>
                </w:p>
              </w:tc>
            </w:tr>
            <w:tr w14:paraId="38F75B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925" w:type="dxa"/>
                  <w:vMerge w:val="continue"/>
                  <w:tcBorders>
                    <w:tl2br w:val="nil"/>
                    <w:tr2bl w:val="nil"/>
                  </w:tcBorders>
                  <w:noWrap w:val="0"/>
                  <w:vAlign w:val="center"/>
                </w:tcPr>
                <w:p w14:paraId="70650332">
                  <w:pPr>
                    <w:pStyle w:val="22"/>
                    <w:bidi w:val="0"/>
                    <w:rPr>
                      <w:rFonts w:hint="default" w:ascii="Times New Roman" w:hAnsi="Times New Roman" w:cs="Times New Roman"/>
                      <w:color w:val="auto"/>
                    </w:rPr>
                  </w:pPr>
                </w:p>
              </w:tc>
              <w:tc>
                <w:tcPr>
                  <w:tcW w:w="1010" w:type="dxa"/>
                  <w:tcBorders>
                    <w:tl2br w:val="nil"/>
                    <w:tr2bl w:val="nil"/>
                  </w:tcBorders>
                  <w:noWrap w:val="0"/>
                  <w:vAlign w:val="center"/>
                </w:tcPr>
                <w:p w14:paraId="2C7FFA58">
                  <w:pPr>
                    <w:pStyle w:val="22"/>
                    <w:bidi w:val="0"/>
                    <w:rPr>
                      <w:rFonts w:hint="default" w:ascii="Times New Roman" w:hAnsi="Times New Roman" w:cs="Times New Roman"/>
                      <w:color w:val="auto"/>
                    </w:rPr>
                  </w:pPr>
                  <w:r>
                    <w:rPr>
                      <w:rFonts w:hint="default" w:ascii="Times New Roman" w:hAnsi="Times New Roman" w:cs="Times New Roman"/>
                      <w:color w:val="auto"/>
                    </w:rPr>
                    <w:t>分子量</w:t>
                  </w:r>
                </w:p>
              </w:tc>
              <w:tc>
                <w:tcPr>
                  <w:tcW w:w="2181" w:type="dxa"/>
                  <w:gridSpan w:val="2"/>
                  <w:tcBorders>
                    <w:tl2br w:val="nil"/>
                    <w:tr2bl w:val="nil"/>
                  </w:tcBorders>
                  <w:noWrap w:val="0"/>
                  <w:vAlign w:val="center"/>
                </w:tcPr>
                <w:p w14:paraId="11D20364">
                  <w:pPr>
                    <w:pStyle w:val="22"/>
                    <w:bidi w:val="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56.1</w:t>
                  </w:r>
                </w:p>
              </w:tc>
              <w:tc>
                <w:tcPr>
                  <w:tcW w:w="1190" w:type="dxa"/>
                  <w:tcBorders>
                    <w:tl2br w:val="nil"/>
                    <w:tr2bl w:val="nil"/>
                  </w:tcBorders>
                  <w:noWrap w:val="0"/>
                  <w:vAlign w:val="center"/>
                </w:tcPr>
                <w:p w14:paraId="401A778E">
                  <w:pPr>
                    <w:pStyle w:val="22"/>
                    <w:bidi w:val="0"/>
                    <w:rPr>
                      <w:rFonts w:hint="default" w:ascii="Times New Roman" w:hAnsi="Times New Roman" w:cs="Times New Roman"/>
                      <w:color w:val="auto"/>
                    </w:rPr>
                  </w:pPr>
                  <w:r>
                    <w:rPr>
                      <w:rFonts w:hint="default" w:ascii="Times New Roman" w:hAnsi="Times New Roman" w:cs="Times New Roman"/>
                      <w:color w:val="auto"/>
                    </w:rPr>
                    <w:t>CAS</w:t>
                  </w:r>
                </w:p>
              </w:tc>
              <w:tc>
                <w:tcPr>
                  <w:tcW w:w="2640" w:type="dxa"/>
                  <w:tcBorders>
                    <w:tl2br w:val="nil"/>
                    <w:tr2bl w:val="nil"/>
                  </w:tcBorders>
                  <w:noWrap w:val="0"/>
                  <w:vAlign w:val="center"/>
                </w:tcPr>
                <w:p w14:paraId="27404A17">
                  <w:pPr>
                    <w:pStyle w:val="22"/>
                    <w:bidi w:val="0"/>
                    <w:rPr>
                      <w:rFonts w:hint="default" w:ascii="Times New Roman" w:hAnsi="Times New Roman" w:cs="Times New Roman"/>
                      <w:color w:val="auto"/>
                    </w:rPr>
                  </w:pPr>
                  <w:r>
                    <w:rPr>
                      <w:rFonts w:hint="default" w:ascii="Times New Roman" w:hAnsi="Times New Roman" w:cs="Times New Roman"/>
                      <w:color w:val="auto"/>
                    </w:rPr>
                    <w:t>1310-58-3</w:t>
                  </w:r>
                </w:p>
              </w:tc>
            </w:tr>
            <w:tr w14:paraId="2761F4D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925" w:type="dxa"/>
                  <w:vMerge w:val="continue"/>
                  <w:tcBorders>
                    <w:tl2br w:val="nil"/>
                    <w:tr2bl w:val="nil"/>
                  </w:tcBorders>
                  <w:noWrap w:val="0"/>
                  <w:vAlign w:val="center"/>
                </w:tcPr>
                <w:p w14:paraId="483BE759">
                  <w:pPr>
                    <w:pStyle w:val="22"/>
                    <w:bidi w:val="0"/>
                    <w:rPr>
                      <w:rFonts w:hint="default" w:ascii="Times New Roman" w:hAnsi="Times New Roman" w:cs="Times New Roman"/>
                      <w:color w:val="auto"/>
                    </w:rPr>
                  </w:pPr>
                </w:p>
              </w:tc>
              <w:tc>
                <w:tcPr>
                  <w:tcW w:w="1010" w:type="dxa"/>
                  <w:tcBorders>
                    <w:tl2br w:val="nil"/>
                    <w:tr2bl w:val="nil"/>
                  </w:tcBorders>
                  <w:noWrap w:val="0"/>
                  <w:vAlign w:val="center"/>
                </w:tcPr>
                <w:p w14:paraId="4A326556">
                  <w:pPr>
                    <w:pStyle w:val="22"/>
                    <w:bidi w:val="0"/>
                    <w:rPr>
                      <w:rFonts w:hint="default" w:ascii="Times New Roman" w:hAnsi="Times New Roman" w:cs="Times New Roman"/>
                      <w:color w:val="auto"/>
                    </w:rPr>
                  </w:pPr>
                  <w:r>
                    <w:rPr>
                      <w:rFonts w:hint="default" w:ascii="Times New Roman" w:hAnsi="Times New Roman" w:cs="Times New Roman"/>
                      <w:color w:val="auto"/>
                    </w:rPr>
                    <w:t>熔点</w:t>
                  </w:r>
                </w:p>
              </w:tc>
              <w:tc>
                <w:tcPr>
                  <w:tcW w:w="2181" w:type="dxa"/>
                  <w:gridSpan w:val="2"/>
                  <w:tcBorders>
                    <w:tl2br w:val="nil"/>
                    <w:tr2bl w:val="nil"/>
                  </w:tcBorders>
                  <w:noWrap w:val="0"/>
                  <w:vAlign w:val="center"/>
                </w:tcPr>
                <w:p w14:paraId="008AD084">
                  <w:pPr>
                    <w:pStyle w:val="22"/>
                    <w:bidi w:val="0"/>
                    <w:rPr>
                      <w:rFonts w:hint="default" w:ascii="Times New Roman" w:hAnsi="Times New Roman" w:cs="Times New Roman"/>
                      <w:color w:val="auto"/>
                    </w:rPr>
                  </w:pPr>
                  <w:r>
                    <w:rPr>
                      <w:rFonts w:hint="eastAsia" w:ascii="Times New Roman" w:hAnsi="Times New Roman" w:cs="Times New Roman"/>
                      <w:color w:val="auto"/>
                      <w:lang w:val="en-US" w:eastAsia="zh-CN"/>
                    </w:rPr>
                    <w:t>360-406</w:t>
                  </w:r>
                  <w:r>
                    <w:rPr>
                      <w:rFonts w:hint="default" w:ascii="Times New Roman" w:hAnsi="Times New Roman" w:cs="Times New Roman"/>
                      <w:color w:val="auto"/>
                    </w:rPr>
                    <w:t>℃</w:t>
                  </w:r>
                </w:p>
              </w:tc>
              <w:tc>
                <w:tcPr>
                  <w:tcW w:w="1190" w:type="dxa"/>
                  <w:tcBorders>
                    <w:tl2br w:val="nil"/>
                    <w:tr2bl w:val="nil"/>
                  </w:tcBorders>
                  <w:noWrap w:val="0"/>
                  <w:vAlign w:val="center"/>
                </w:tcPr>
                <w:p w14:paraId="5C96A443">
                  <w:pPr>
                    <w:pStyle w:val="22"/>
                    <w:bidi w:val="0"/>
                    <w:rPr>
                      <w:rFonts w:hint="default" w:ascii="Times New Roman" w:hAnsi="Times New Roman" w:cs="Times New Roman"/>
                      <w:color w:val="auto"/>
                    </w:rPr>
                  </w:pPr>
                  <w:r>
                    <w:rPr>
                      <w:rFonts w:hint="default" w:ascii="Times New Roman" w:hAnsi="Times New Roman" w:cs="Times New Roman"/>
                      <w:color w:val="auto"/>
                    </w:rPr>
                    <w:t>溶解性</w:t>
                  </w:r>
                </w:p>
              </w:tc>
              <w:tc>
                <w:tcPr>
                  <w:tcW w:w="2640" w:type="dxa"/>
                  <w:tcBorders>
                    <w:tl2br w:val="nil"/>
                    <w:tr2bl w:val="nil"/>
                  </w:tcBorders>
                  <w:noWrap w:val="0"/>
                  <w:vAlign w:val="center"/>
                </w:tcPr>
                <w:p w14:paraId="158CAA08">
                  <w:pPr>
                    <w:pStyle w:val="22"/>
                    <w:bidi w:val="0"/>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易溶于水</w:t>
                  </w:r>
                </w:p>
              </w:tc>
            </w:tr>
            <w:tr w14:paraId="2EDB5A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925" w:type="dxa"/>
                  <w:vMerge w:val="continue"/>
                  <w:tcBorders>
                    <w:tl2br w:val="nil"/>
                    <w:tr2bl w:val="nil"/>
                  </w:tcBorders>
                  <w:noWrap w:val="0"/>
                  <w:vAlign w:val="center"/>
                </w:tcPr>
                <w:p w14:paraId="5D861966">
                  <w:pPr>
                    <w:pStyle w:val="22"/>
                    <w:bidi w:val="0"/>
                    <w:rPr>
                      <w:rFonts w:hint="default" w:ascii="Times New Roman" w:hAnsi="Times New Roman" w:cs="Times New Roman"/>
                      <w:color w:val="auto"/>
                    </w:rPr>
                  </w:pPr>
                </w:p>
              </w:tc>
              <w:tc>
                <w:tcPr>
                  <w:tcW w:w="1010" w:type="dxa"/>
                  <w:tcBorders>
                    <w:tl2br w:val="nil"/>
                    <w:tr2bl w:val="nil"/>
                  </w:tcBorders>
                  <w:noWrap w:val="0"/>
                  <w:vAlign w:val="center"/>
                </w:tcPr>
                <w:p w14:paraId="2A10DAD8">
                  <w:pPr>
                    <w:pStyle w:val="22"/>
                    <w:bidi w:val="0"/>
                    <w:rPr>
                      <w:rFonts w:hint="default" w:ascii="Times New Roman" w:hAnsi="Times New Roman" w:cs="Times New Roman"/>
                      <w:color w:val="auto"/>
                    </w:rPr>
                  </w:pPr>
                  <w:r>
                    <w:rPr>
                      <w:rFonts w:hint="default" w:ascii="Times New Roman" w:hAnsi="Times New Roman" w:cs="Times New Roman"/>
                      <w:color w:val="auto"/>
                    </w:rPr>
                    <w:t>相对密度</w:t>
                  </w:r>
                </w:p>
              </w:tc>
              <w:tc>
                <w:tcPr>
                  <w:tcW w:w="2181" w:type="dxa"/>
                  <w:gridSpan w:val="2"/>
                  <w:tcBorders>
                    <w:tl2br w:val="nil"/>
                    <w:tr2bl w:val="nil"/>
                  </w:tcBorders>
                  <w:noWrap w:val="0"/>
                  <w:vAlign w:val="center"/>
                </w:tcPr>
                <w:p w14:paraId="435D5DBF">
                  <w:pPr>
                    <w:pStyle w:val="22"/>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rPr>
                    <w:t>相对密度</w:t>
                  </w:r>
                  <w:r>
                    <w:rPr>
                      <w:rFonts w:hint="default" w:ascii="Times New Roman" w:hAnsi="Times New Roman" w:cs="Times New Roman"/>
                      <w:color w:val="auto"/>
                      <w:lang w:eastAsia="zh-CN"/>
                    </w:rPr>
                    <w:t>（</w:t>
                  </w:r>
                  <w:r>
                    <w:rPr>
                      <w:rFonts w:hint="default" w:ascii="Times New Roman" w:hAnsi="Times New Roman" w:cs="Times New Roman"/>
                      <w:color w:val="auto"/>
                    </w:rPr>
                    <w:t>水=1</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2.04g/cm</w:t>
                  </w:r>
                  <w:r>
                    <w:rPr>
                      <w:rFonts w:hint="eastAsia" w:ascii="Times New Roman" w:hAnsi="Times New Roman" w:cs="Times New Roman"/>
                      <w:color w:val="auto"/>
                      <w:vertAlign w:val="superscript"/>
                      <w:lang w:val="en-US" w:eastAsia="zh-CN"/>
                    </w:rPr>
                    <w:t>3</w:t>
                  </w:r>
                </w:p>
              </w:tc>
              <w:tc>
                <w:tcPr>
                  <w:tcW w:w="1190" w:type="dxa"/>
                  <w:tcBorders>
                    <w:tl2br w:val="nil"/>
                    <w:tr2bl w:val="nil"/>
                  </w:tcBorders>
                  <w:noWrap w:val="0"/>
                  <w:vAlign w:val="center"/>
                </w:tcPr>
                <w:p w14:paraId="578C9D00">
                  <w:pPr>
                    <w:pStyle w:val="22"/>
                    <w:bidi w:val="0"/>
                    <w:rPr>
                      <w:rFonts w:hint="default" w:ascii="Times New Roman" w:hAnsi="Times New Roman" w:cs="Times New Roman"/>
                      <w:color w:val="auto"/>
                    </w:rPr>
                  </w:pPr>
                  <w:r>
                    <w:rPr>
                      <w:rFonts w:hint="default" w:ascii="Times New Roman" w:hAnsi="Times New Roman" w:cs="Times New Roman"/>
                      <w:color w:val="auto"/>
                    </w:rPr>
                    <w:t>沸点</w:t>
                  </w:r>
                </w:p>
              </w:tc>
              <w:tc>
                <w:tcPr>
                  <w:tcW w:w="2640" w:type="dxa"/>
                  <w:tcBorders>
                    <w:tl2br w:val="nil"/>
                    <w:tr2bl w:val="nil"/>
                  </w:tcBorders>
                  <w:noWrap w:val="0"/>
                  <w:vAlign w:val="center"/>
                </w:tcPr>
                <w:p w14:paraId="50EDA3E5">
                  <w:pPr>
                    <w:pStyle w:val="22"/>
                    <w:bidi w:val="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1320</w:t>
                  </w:r>
                  <w:r>
                    <w:rPr>
                      <w:rFonts w:hint="default" w:ascii="Times New Roman" w:hAnsi="Times New Roman" w:cs="Times New Roman"/>
                      <w:color w:val="auto"/>
                    </w:rPr>
                    <w:t>℃</w:t>
                  </w:r>
                </w:p>
              </w:tc>
            </w:tr>
            <w:tr w14:paraId="20BDF1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925" w:type="dxa"/>
                  <w:vMerge w:val="continue"/>
                  <w:tcBorders>
                    <w:tl2br w:val="nil"/>
                    <w:tr2bl w:val="nil"/>
                  </w:tcBorders>
                  <w:noWrap w:val="0"/>
                  <w:vAlign w:val="center"/>
                </w:tcPr>
                <w:p w14:paraId="4A46FCA1">
                  <w:pPr>
                    <w:pStyle w:val="22"/>
                    <w:bidi w:val="0"/>
                    <w:rPr>
                      <w:rFonts w:hint="default" w:ascii="Times New Roman" w:hAnsi="Times New Roman" w:cs="Times New Roman"/>
                      <w:color w:val="auto"/>
                    </w:rPr>
                  </w:pPr>
                </w:p>
              </w:tc>
              <w:tc>
                <w:tcPr>
                  <w:tcW w:w="1010" w:type="dxa"/>
                  <w:tcBorders>
                    <w:tl2br w:val="nil"/>
                    <w:tr2bl w:val="nil"/>
                  </w:tcBorders>
                  <w:noWrap w:val="0"/>
                  <w:vAlign w:val="center"/>
                </w:tcPr>
                <w:p w14:paraId="145C4338">
                  <w:pPr>
                    <w:pStyle w:val="22"/>
                    <w:bidi w:val="0"/>
                    <w:rPr>
                      <w:rFonts w:hint="default" w:ascii="Times New Roman" w:hAnsi="Times New Roman" w:cs="Times New Roman"/>
                      <w:color w:val="auto"/>
                    </w:rPr>
                  </w:pPr>
                  <w:r>
                    <w:rPr>
                      <w:rFonts w:hint="default" w:ascii="Times New Roman" w:hAnsi="Times New Roman" w:cs="Times New Roman"/>
                      <w:color w:val="auto"/>
                    </w:rPr>
                    <w:t>酸碱性</w:t>
                  </w:r>
                </w:p>
              </w:tc>
              <w:tc>
                <w:tcPr>
                  <w:tcW w:w="2181" w:type="dxa"/>
                  <w:gridSpan w:val="2"/>
                  <w:tcBorders>
                    <w:tl2br w:val="nil"/>
                    <w:tr2bl w:val="nil"/>
                  </w:tcBorders>
                  <w:noWrap w:val="0"/>
                  <w:vAlign w:val="center"/>
                </w:tcPr>
                <w:p w14:paraId="3FAF1F28">
                  <w:pPr>
                    <w:pStyle w:val="22"/>
                    <w:bidi w:val="0"/>
                    <w:rPr>
                      <w:rFonts w:hint="eastAsia" w:ascii="Times New Roman" w:hAnsi="Times New Roman" w:eastAsia="宋体" w:cs="Times New Roman"/>
                      <w:color w:val="auto"/>
                      <w:lang w:val="en-US" w:eastAsia="zh-CN"/>
                    </w:rPr>
                  </w:pPr>
                  <w:r>
                    <w:rPr>
                      <w:rFonts w:hint="default" w:ascii="Times New Roman" w:hAnsi="Times New Roman" w:cs="Times New Roman"/>
                      <w:color w:val="auto"/>
                    </w:rPr>
                    <w:t>强碱</w:t>
                  </w:r>
                  <w:r>
                    <w:rPr>
                      <w:rFonts w:hint="eastAsia" w:ascii="Times New Roman" w:hAnsi="Times New Roman" w:cs="Times New Roman"/>
                      <w:color w:val="auto"/>
                      <w:lang w:val="en-US" w:eastAsia="zh-CN"/>
                    </w:rPr>
                    <w:t>性</w:t>
                  </w:r>
                </w:p>
              </w:tc>
              <w:tc>
                <w:tcPr>
                  <w:tcW w:w="1190" w:type="dxa"/>
                  <w:tcBorders>
                    <w:tl2br w:val="nil"/>
                    <w:tr2bl w:val="nil"/>
                  </w:tcBorders>
                  <w:noWrap w:val="0"/>
                  <w:vAlign w:val="center"/>
                </w:tcPr>
                <w:p w14:paraId="4F181C61">
                  <w:pPr>
                    <w:pStyle w:val="22"/>
                    <w:bidi w:val="0"/>
                    <w:rPr>
                      <w:rFonts w:hint="default" w:ascii="Times New Roman" w:hAnsi="Times New Roman" w:cs="Times New Roman"/>
                      <w:color w:val="auto"/>
                    </w:rPr>
                  </w:pPr>
                  <w:r>
                    <w:rPr>
                      <w:rFonts w:hint="default" w:ascii="Times New Roman" w:hAnsi="Times New Roman" w:cs="Times New Roman"/>
                      <w:color w:val="auto"/>
                    </w:rPr>
                    <w:t>稳定性</w:t>
                  </w:r>
                </w:p>
              </w:tc>
              <w:tc>
                <w:tcPr>
                  <w:tcW w:w="2640" w:type="dxa"/>
                  <w:tcBorders>
                    <w:tl2br w:val="nil"/>
                    <w:tr2bl w:val="nil"/>
                  </w:tcBorders>
                  <w:noWrap w:val="0"/>
                  <w:vAlign w:val="center"/>
                </w:tcPr>
                <w:p w14:paraId="094FC08D">
                  <w:pPr>
                    <w:pStyle w:val="22"/>
                    <w:bidi w:val="0"/>
                    <w:rPr>
                      <w:rFonts w:hint="default" w:ascii="Times New Roman" w:hAnsi="Times New Roman" w:cs="Times New Roman"/>
                      <w:color w:val="auto"/>
                    </w:rPr>
                  </w:pPr>
                  <w:r>
                    <w:rPr>
                      <w:rFonts w:hint="default" w:ascii="Times New Roman" w:hAnsi="Times New Roman" w:cs="Times New Roman"/>
                      <w:color w:val="auto"/>
                    </w:rPr>
                    <w:t>不稳定，见光分解</w:t>
                  </w:r>
                </w:p>
              </w:tc>
            </w:tr>
            <w:tr w14:paraId="54E080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925" w:type="dxa"/>
                  <w:vMerge w:val="continue"/>
                  <w:tcBorders>
                    <w:tl2br w:val="nil"/>
                    <w:tr2bl w:val="nil"/>
                  </w:tcBorders>
                  <w:noWrap w:val="0"/>
                  <w:vAlign w:val="center"/>
                </w:tcPr>
                <w:p w14:paraId="20B6FBFA">
                  <w:pPr>
                    <w:pStyle w:val="22"/>
                    <w:bidi w:val="0"/>
                    <w:rPr>
                      <w:rFonts w:hint="default" w:ascii="Times New Roman" w:hAnsi="Times New Roman" w:cs="Times New Roman"/>
                      <w:color w:val="auto"/>
                    </w:rPr>
                  </w:pPr>
                </w:p>
              </w:tc>
              <w:tc>
                <w:tcPr>
                  <w:tcW w:w="1010" w:type="dxa"/>
                  <w:tcBorders>
                    <w:tl2br w:val="nil"/>
                    <w:tr2bl w:val="nil"/>
                  </w:tcBorders>
                  <w:noWrap w:val="0"/>
                  <w:vAlign w:val="center"/>
                </w:tcPr>
                <w:p w14:paraId="78C40A89">
                  <w:pPr>
                    <w:pStyle w:val="22"/>
                    <w:bidi w:val="0"/>
                    <w:rPr>
                      <w:rFonts w:hint="default" w:ascii="Times New Roman" w:hAnsi="Times New Roman" w:cs="Times New Roman"/>
                      <w:color w:val="auto"/>
                    </w:rPr>
                  </w:pPr>
                  <w:r>
                    <w:rPr>
                      <w:rFonts w:hint="default" w:ascii="Times New Roman" w:hAnsi="Times New Roman" w:cs="Times New Roman"/>
                      <w:color w:val="auto"/>
                    </w:rPr>
                    <w:t>危险特性</w:t>
                  </w:r>
                </w:p>
              </w:tc>
              <w:tc>
                <w:tcPr>
                  <w:tcW w:w="925" w:type="dxa"/>
                  <w:tcBorders>
                    <w:tl2br w:val="nil"/>
                    <w:tr2bl w:val="nil"/>
                  </w:tcBorders>
                  <w:noWrap w:val="0"/>
                  <w:vAlign w:val="center"/>
                </w:tcPr>
                <w:p w14:paraId="2EFA85E6">
                  <w:pPr>
                    <w:pStyle w:val="22"/>
                    <w:bidi w:val="0"/>
                    <w:rPr>
                      <w:rFonts w:hint="default" w:ascii="Times New Roman" w:hAnsi="Times New Roman" w:cs="Times New Roman"/>
                      <w:color w:val="auto"/>
                    </w:rPr>
                  </w:pPr>
                  <w:r>
                    <w:rPr>
                      <w:rFonts w:hint="default" w:ascii="Times New Roman" w:hAnsi="Times New Roman" w:cs="Times New Roman"/>
                      <w:color w:val="auto"/>
                    </w:rPr>
                    <w:t>侵入途径</w:t>
                  </w:r>
                </w:p>
              </w:tc>
              <w:tc>
                <w:tcPr>
                  <w:tcW w:w="5086" w:type="dxa"/>
                  <w:gridSpan w:val="3"/>
                  <w:tcBorders>
                    <w:tl2br w:val="nil"/>
                    <w:tr2bl w:val="nil"/>
                  </w:tcBorders>
                  <w:noWrap w:val="0"/>
                  <w:vAlign w:val="center"/>
                </w:tcPr>
                <w:p w14:paraId="03101DD3">
                  <w:pPr>
                    <w:pStyle w:val="22"/>
                    <w:bidi w:val="0"/>
                    <w:rPr>
                      <w:rFonts w:hint="default" w:ascii="Times New Roman" w:hAnsi="Times New Roman" w:cs="Times New Roman"/>
                      <w:color w:val="auto"/>
                    </w:rPr>
                  </w:pPr>
                  <w:r>
                    <w:rPr>
                      <w:rFonts w:hint="default" w:ascii="Times New Roman" w:hAnsi="Times New Roman" w:cs="Times New Roman"/>
                      <w:color w:val="auto"/>
                    </w:rPr>
                    <w:t>吸入、食入、皮肤接触吸收</w:t>
                  </w:r>
                </w:p>
              </w:tc>
            </w:tr>
            <w:tr w14:paraId="2C45B5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925" w:type="dxa"/>
                  <w:vMerge w:val="continue"/>
                  <w:tcBorders>
                    <w:tl2br w:val="nil"/>
                    <w:tr2bl w:val="nil"/>
                  </w:tcBorders>
                  <w:noWrap w:val="0"/>
                  <w:vAlign w:val="center"/>
                </w:tcPr>
                <w:p w14:paraId="47CAFD44">
                  <w:pPr>
                    <w:pStyle w:val="22"/>
                    <w:bidi w:val="0"/>
                    <w:rPr>
                      <w:rFonts w:hint="default" w:ascii="Times New Roman" w:hAnsi="Times New Roman" w:cs="Times New Roman"/>
                      <w:color w:val="auto"/>
                    </w:rPr>
                  </w:pPr>
                </w:p>
              </w:tc>
              <w:tc>
                <w:tcPr>
                  <w:tcW w:w="1010" w:type="dxa"/>
                  <w:vMerge w:val="restart"/>
                  <w:tcBorders>
                    <w:tl2br w:val="nil"/>
                    <w:tr2bl w:val="nil"/>
                  </w:tcBorders>
                  <w:noWrap w:val="0"/>
                  <w:vAlign w:val="center"/>
                </w:tcPr>
                <w:p w14:paraId="3B68E990">
                  <w:pPr>
                    <w:pStyle w:val="22"/>
                    <w:bidi w:val="0"/>
                    <w:rPr>
                      <w:rFonts w:hint="default" w:ascii="Times New Roman" w:hAnsi="Times New Roman" w:cs="Times New Roman"/>
                      <w:color w:val="auto"/>
                    </w:rPr>
                  </w:pPr>
                  <w:r>
                    <w:rPr>
                      <w:rFonts w:hint="default" w:ascii="Times New Roman" w:hAnsi="Times New Roman" w:cs="Times New Roman"/>
                      <w:color w:val="auto"/>
                    </w:rPr>
                    <w:t>应急措施</w:t>
                  </w:r>
                </w:p>
              </w:tc>
              <w:tc>
                <w:tcPr>
                  <w:tcW w:w="925" w:type="dxa"/>
                  <w:tcBorders>
                    <w:tl2br w:val="nil"/>
                    <w:tr2bl w:val="nil"/>
                  </w:tcBorders>
                  <w:noWrap w:val="0"/>
                  <w:vAlign w:val="center"/>
                </w:tcPr>
                <w:p w14:paraId="706423D6">
                  <w:pPr>
                    <w:pStyle w:val="22"/>
                    <w:bidi w:val="0"/>
                    <w:rPr>
                      <w:rFonts w:hint="default" w:ascii="Times New Roman" w:hAnsi="Times New Roman" w:cs="Times New Roman"/>
                      <w:color w:val="auto"/>
                    </w:rPr>
                  </w:pPr>
                  <w:r>
                    <w:rPr>
                      <w:rFonts w:hint="default" w:ascii="Times New Roman" w:hAnsi="Times New Roman" w:cs="Times New Roman"/>
                      <w:color w:val="auto"/>
                    </w:rPr>
                    <w:t>危险特性</w:t>
                  </w:r>
                </w:p>
              </w:tc>
              <w:tc>
                <w:tcPr>
                  <w:tcW w:w="5086" w:type="dxa"/>
                  <w:gridSpan w:val="3"/>
                  <w:tcBorders>
                    <w:tl2br w:val="nil"/>
                    <w:tr2bl w:val="nil"/>
                  </w:tcBorders>
                  <w:noWrap w:val="0"/>
                  <w:vAlign w:val="center"/>
                </w:tcPr>
                <w:p w14:paraId="245C3F39">
                  <w:pPr>
                    <w:pStyle w:val="22"/>
                    <w:bidi w:val="0"/>
                    <w:jc w:val="both"/>
                    <w:rPr>
                      <w:rFonts w:hint="default" w:ascii="Times New Roman" w:hAnsi="Times New Roman" w:cs="Times New Roman"/>
                      <w:color w:val="auto"/>
                    </w:rPr>
                  </w:pPr>
                  <w:r>
                    <w:rPr>
                      <w:rFonts w:hint="default" w:ascii="Times New Roman" w:hAnsi="Times New Roman" w:cs="Times New Roman"/>
                      <w:color w:val="auto"/>
                    </w:rPr>
                    <w:t>本身不可燃，但遇水或潮气会释放大量热量，若接触可燃物可能引发火灾</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"https://chemicalsafety.ilo.org/dyn/icsc/showcard.display?p_lang=zh&amp;p_card_id=0357&amp;p_version=2" \t "https://chat.deepseek.com/a/chat/s/_blank" </w:instrText>
                  </w:r>
                  <w:r>
                    <w:rPr>
                      <w:rFonts w:hint="default" w:ascii="Times New Roman" w:hAnsi="Times New Roman" w:cs="Times New Roman"/>
                      <w:color w:val="auto"/>
                    </w:rPr>
                    <w:fldChar w:fldCharType="separate"/>
                  </w:r>
                  <w:r>
                    <w:rPr>
                      <w:rFonts w:hint="default" w:ascii="Times New Roman" w:hAnsi="Times New Roman" w:cs="Times New Roman"/>
                      <w:color w:val="auto"/>
                    </w:rPr>
                    <w:fldChar w:fldCharType="end"/>
                  </w:r>
                  <w:r>
                    <w:rPr>
                      <w:rFonts w:hint="default" w:ascii="Times New Roman" w:hAnsi="Times New Roman" w:cs="Times New Roman"/>
                      <w:color w:val="auto"/>
                    </w:rPr>
                    <w:t>。与酸发生剧烈中和反应，并能腐蚀铝、锌等金属，反应生成易燃易爆的氢气</w:t>
                  </w:r>
                </w:p>
              </w:tc>
            </w:tr>
            <w:tr w14:paraId="0B7BBF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925" w:type="dxa"/>
                  <w:vMerge w:val="continue"/>
                  <w:tcBorders>
                    <w:tl2br w:val="nil"/>
                    <w:tr2bl w:val="nil"/>
                  </w:tcBorders>
                  <w:noWrap w:val="0"/>
                  <w:vAlign w:val="center"/>
                </w:tcPr>
                <w:p w14:paraId="503C44BF">
                  <w:pPr>
                    <w:pStyle w:val="22"/>
                    <w:bidi w:val="0"/>
                    <w:rPr>
                      <w:rFonts w:hint="default" w:ascii="Times New Roman" w:hAnsi="Times New Roman" w:cs="Times New Roman"/>
                      <w:color w:val="auto"/>
                    </w:rPr>
                  </w:pPr>
                </w:p>
              </w:tc>
              <w:tc>
                <w:tcPr>
                  <w:tcW w:w="1010" w:type="dxa"/>
                  <w:vMerge w:val="continue"/>
                  <w:tcBorders>
                    <w:tl2br w:val="nil"/>
                    <w:tr2bl w:val="nil"/>
                  </w:tcBorders>
                  <w:noWrap w:val="0"/>
                  <w:vAlign w:val="center"/>
                </w:tcPr>
                <w:p w14:paraId="33542AE6">
                  <w:pPr>
                    <w:pStyle w:val="22"/>
                    <w:bidi w:val="0"/>
                    <w:rPr>
                      <w:rFonts w:hint="default" w:ascii="Times New Roman" w:hAnsi="Times New Roman" w:cs="Times New Roman"/>
                      <w:color w:val="auto"/>
                    </w:rPr>
                  </w:pPr>
                </w:p>
              </w:tc>
              <w:tc>
                <w:tcPr>
                  <w:tcW w:w="925" w:type="dxa"/>
                  <w:tcBorders>
                    <w:tl2br w:val="nil"/>
                    <w:tr2bl w:val="nil"/>
                  </w:tcBorders>
                  <w:noWrap w:val="0"/>
                  <w:vAlign w:val="center"/>
                </w:tcPr>
                <w:p w14:paraId="2624FA6C">
                  <w:pPr>
                    <w:pStyle w:val="22"/>
                    <w:bidi w:val="0"/>
                    <w:rPr>
                      <w:rFonts w:hint="default" w:ascii="Times New Roman" w:hAnsi="Times New Roman" w:cs="Times New Roman"/>
                      <w:color w:val="auto"/>
                    </w:rPr>
                  </w:pPr>
                  <w:r>
                    <w:rPr>
                      <w:rFonts w:hint="default" w:ascii="Times New Roman" w:hAnsi="Times New Roman" w:cs="Times New Roman"/>
                      <w:color w:val="auto"/>
                    </w:rPr>
                    <w:t>健康危害</w:t>
                  </w:r>
                </w:p>
              </w:tc>
              <w:tc>
                <w:tcPr>
                  <w:tcW w:w="5086" w:type="dxa"/>
                  <w:gridSpan w:val="3"/>
                  <w:tcBorders>
                    <w:tl2br w:val="nil"/>
                    <w:tr2bl w:val="nil"/>
                  </w:tcBorders>
                  <w:noWrap w:val="0"/>
                  <w:vAlign w:val="center"/>
                </w:tcPr>
                <w:p w14:paraId="281B2ADC">
                  <w:pPr>
                    <w:pStyle w:val="22"/>
                    <w:bidi w:val="0"/>
                    <w:jc w:val="both"/>
                    <w:rPr>
                      <w:rFonts w:hint="default" w:ascii="Times New Roman" w:hAnsi="Times New Roman" w:cs="Times New Roman"/>
                      <w:color w:val="auto"/>
                    </w:rPr>
                  </w:pPr>
                  <w:r>
                    <w:rPr>
                      <w:rFonts w:hint="default" w:ascii="Times New Roman" w:hAnsi="Times New Roman" w:cs="Times New Roman"/>
                      <w:color w:val="auto"/>
                    </w:rPr>
                    <w:t>具有极强的腐蚀性。粉尘或溶液会刺激和灼伤皮肤、眼睛和呼吸道，可能导致鼻中隔穿孔、角膜损伤甚至失明。误服会造成消化道严重灼伤，甚至休克</w:t>
                  </w:r>
                </w:p>
              </w:tc>
            </w:tr>
            <w:tr w14:paraId="141504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1" w:hRule="atLeast"/>
              </w:trPr>
              <w:tc>
                <w:tcPr>
                  <w:tcW w:w="925" w:type="dxa"/>
                  <w:vMerge w:val="continue"/>
                  <w:tcBorders>
                    <w:bottom w:val="single" w:color="auto" w:sz="8" w:space="0"/>
                    <w:tl2br w:val="nil"/>
                    <w:tr2bl w:val="nil"/>
                  </w:tcBorders>
                  <w:noWrap w:val="0"/>
                  <w:vAlign w:val="center"/>
                </w:tcPr>
                <w:p w14:paraId="1FD79A15">
                  <w:pPr>
                    <w:pStyle w:val="22"/>
                    <w:bidi w:val="0"/>
                    <w:rPr>
                      <w:rFonts w:hint="default" w:ascii="Times New Roman" w:hAnsi="Times New Roman" w:cs="Times New Roman"/>
                      <w:color w:val="auto"/>
                    </w:rPr>
                  </w:pPr>
                </w:p>
              </w:tc>
              <w:tc>
                <w:tcPr>
                  <w:tcW w:w="1010" w:type="dxa"/>
                  <w:vMerge w:val="continue"/>
                  <w:tcBorders>
                    <w:bottom w:val="single" w:color="auto" w:sz="8" w:space="0"/>
                    <w:tl2br w:val="nil"/>
                    <w:tr2bl w:val="nil"/>
                  </w:tcBorders>
                  <w:noWrap w:val="0"/>
                  <w:vAlign w:val="center"/>
                </w:tcPr>
                <w:p w14:paraId="0AEA9F2A">
                  <w:pPr>
                    <w:pStyle w:val="22"/>
                    <w:bidi w:val="0"/>
                    <w:rPr>
                      <w:rFonts w:hint="default" w:ascii="Times New Roman" w:hAnsi="Times New Roman" w:cs="Times New Roman"/>
                      <w:color w:val="auto"/>
                    </w:rPr>
                  </w:pPr>
                </w:p>
              </w:tc>
              <w:tc>
                <w:tcPr>
                  <w:tcW w:w="925" w:type="dxa"/>
                  <w:tcBorders>
                    <w:bottom w:val="single" w:color="auto" w:sz="8" w:space="0"/>
                    <w:tl2br w:val="nil"/>
                    <w:tr2bl w:val="nil"/>
                  </w:tcBorders>
                  <w:noWrap w:val="0"/>
                  <w:vAlign w:val="center"/>
                </w:tcPr>
                <w:p w14:paraId="6A339878">
                  <w:pPr>
                    <w:pStyle w:val="22"/>
                    <w:bidi w:val="0"/>
                    <w:rPr>
                      <w:rFonts w:hint="default" w:ascii="Times New Roman" w:hAnsi="Times New Roman" w:cs="Times New Roman"/>
                      <w:color w:val="auto"/>
                    </w:rPr>
                  </w:pPr>
                  <w:r>
                    <w:rPr>
                      <w:rFonts w:hint="default" w:ascii="Times New Roman" w:hAnsi="Times New Roman" w:cs="Times New Roman"/>
                      <w:color w:val="auto"/>
                    </w:rPr>
                    <w:t>急救措施</w:t>
                  </w:r>
                </w:p>
              </w:tc>
              <w:tc>
                <w:tcPr>
                  <w:tcW w:w="5086" w:type="dxa"/>
                  <w:gridSpan w:val="3"/>
                  <w:tcBorders>
                    <w:bottom w:val="single" w:color="auto" w:sz="8" w:space="0"/>
                    <w:tl2br w:val="nil"/>
                    <w:tr2bl w:val="nil"/>
                  </w:tcBorders>
                  <w:noWrap w:val="0"/>
                  <w:vAlign w:val="center"/>
                </w:tcPr>
                <w:p w14:paraId="3BB74B79">
                  <w:pPr>
                    <w:pStyle w:val="22"/>
                    <w:bidi w:val="0"/>
                    <w:jc w:val="both"/>
                    <w:rPr>
                      <w:rFonts w:hint="eastAsia" w:ascii="Times New Roman" w:hAnsi="Times New Roman" w:eastAsia="宋体" w:cs="Times New Roman"/>
                      <w:color w:val="auto"/>
                      <w:lang w:eastAsia="zh-CN"/>
                    </w:rPr>
                  </w:pPr>
                  <w:r>
                    <w:rPr>
                      <w:rFonts w:hint="default" w:ascii="Times New Roman" w:hAnsi="Times New Roman" w:cs="Times New Roman"/>
                      <w:color w:val="auto"/>
                    </w:rPr>
                    <w:t>皮肤接触：立即脱去被污染的衣物，用大量流动清水冲洗至少15分钟</w:t>
                  </w:r>
                  <w:r>
                    <w:rPr>
                      <w:rFonts w:hint="eastAsia" w:cs="Times New Roman"/>
                      <w:color w:val="auto"/>
                      <w:lang w:eastAsia="zh-CN"/>
                    </w:rPr>
                    <w:t>。</w:t>
                  </w:r>
                </w:p>
                <w:p w14:paraId="68B5B181">
                  <w:pPr>
                    <w:pStyle w:val="22"/>
                    <w:bidi w:val="0"/>
                    <w:jc w:val="both"/>
                    <w:rPr>
                      <w:rFonts w:hint="default" w:ascii="Times New Roman" w:hAnsi="Times New Roman" w:cs="Times New Roman"/>
                      <w:color w:val="auto"/>
                    </w:rPr>
                  </w:pPr>
                  <w:r>
                    <w:rPr>
                      <w:rFonts w:hint="default" w:ascii="Times New Roman" w:hAnsi="Times New Roman" w:cs="Times New Roman"/>
                      <w:color w:val="auto"/>
                    </w:rPr>
                    <w:t>眼睛接触：提起眼睑，用流动清水或生理盐水冲洗。就医。</w:t>
                  </w:r>
                </w:p>
                <w:p w14:paraId="722D44EE">
                  <w:pPr>
                    <w:pStyle w:val="22"/>
                    <w:bidi w:val="0"/>
                    <w:jc w:val="both"/>
                    <w:rPr>
                      <w:rFonts w:hint="default" w:ascii="Times New Roman" w:hAnsi="Times New Roman" w:cs="Times New Roman"/>
                      <w:color w:val="auto"/>
                    </w:rPr>
                  </w:pPr>
                  <w:r>
                    <w:rPr>
                      <w:rFonts w:hint="default" w:ascii="Times New Roman" w:hAnsi="Times New Roman" w:cs="Times New Roman"/>
                      <w:color w:val="auto"/>
                    </w:rPr>
                    <w:t>吸入：迅速脱离现场至空气新鲜处。保持呼吸道通畅。如呼吸困难，给输氧。如呼吸停止，立即进行人工呼吸，就医。</w:t>
                  </w:r>
                </w:p>
                <w:p w14:paraId="54A46DAA">
                  <w:pPr>
                    <w:pStyle w:val="22"/>
                    <w:bidi w:val="0"/>
                    <w:jc w:val="both"/>
                    <w:rPr>
                      <w:rFonts w:hint="default" w:ascii="Times New Roman" w:hAnsi="Times New Roman" w:cs="Times New Roman"/>
                      <w:color w:val="auto"/>
                    </w:rPr>
                  </w:pPr>
                  <w:r>
                    <w:rPr>
                      <w:rFonts w:hint="default" w:ascii="Times New Roman" w:hAnsi="Times New Roman" w:cs="Times New Roman"/>
                      <w:color w:val="auto"/>
                    </w:rPr>
                    <w:t>食入：禁止催吐。立即用水漱口，可饮用少量水或牛奶。切勿给失去知觉者喂食任何东西。</w:t>
                  </w:r>
                </w:p>
              </w:tc>
            </w:tr>
          </w:tbl>
          <w:p w14:paraId="2E4639A7">
            <w:pPr>
              <w:keepNext w:val="0"/>
              <w:keepLines w:val="0"/>
              <w:pageBreakBefore w:val="0"/>
              <w:widowControl w:val="0"/>
              <w:suppressLineNumbers w:val="0"/>
              <w:kinsoku/>
              <w:wordWrap/>
              <w:overflowPunct/>
              <w:topLinePunct w:val="0"/>
              <w:autoSpaceDE w:val="0"/>
              <w:autoSpaceDN w:val="0"/>
              <w:bidi w:val="0"/>
              <w:adjustRightInd w:val="0"/>
              <w:snapToGrid w:val="0"/>
              <w:spacing w:before="157" w:beforeLines="50" w:beforeAutospacing="0" w:after="0" w:afterAutospacing="0" w:line="360" w:lineRule="auto"/>
              <w:ind w:left="0" w:right="0" w:firstLine="482" w:firstLineChars="200"/>
              <w:textAlignment w:val="auto"/>
              <w:rPr>
                <w:rFonts w:hint="default" w:ascii="Times New Roman" w:hAnsi="Times New Roman" w:eastAsia="宋体" w:cs="Times New Roman"/>
                <w:color w:val="auto"/>
                <w:sz w:val="24"/>
                <w:szCs w:val="24"/>
                <w:highlight w:val="none"/>
                <w:u w:val="none" w:color="auto"/>
                <w:lang w:eastAsia="zh-CN"/>
              </w:rPr>
            </w:pPr>
            <w:r>
              <w:rPr>
                <w:rFonts w:hint="default" w:ascii="Times New Roman" w:hAnsi="Times New Roman" w:eastAsia="宋体" w:cs="Times New Roman"/>
                <w:b/>
                <w:bCs/>
                <w:color w:val="auto"/>
                <w:sz w:val="24"/>
                <w:szCs w:val="24"/>
                <w:highlight w:val="none"/>
                <w:u w:val="none" w:color="auto"/>
                <w:lang w:val="en-US" w:eastAsia="zh-CN"/>
              </w:rPr>
              <w:t>（2）环境风险识别</w:t>
            </w:r>
          </w:p>
          <w:p w14:paraId="583DB44E">
            <w:pPr>
              <w:keepNext w:val="0"/>
              <w:keepLines w:val="0"/>
              <w:pageBreakBefore w:val="0"/>
              <w:widowControl w:val="0"/>
              <w:suppressLineNumbers w:val="0"/>
              <w:kinsoku/>
              <w:wordWrap/>
              <w:overflowPunct/>
              <w:topLinePunct w:val="0"/>
              <w:autoSpaceDE w:val="0"/>
              <w:autoSpaceDN w:val="0"/>
              <w:bidi w:val="0"/>
              <w:adjustRightInd w:val="0"/>
              <w:snapToGrid w:val="0"/>
              <w:spacing w:before="157" w:beforeLines="5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u w:val="none" w:color="auto"/>
              </w:rPr>
            </w:pPr>
            <w:r>
              <w:rPr>
                <w:rFonts w:hint="default" w:ascii="Times New Roman" w:hAnsi="Times New Roman" w:eastAsia="宋体" w:cs="Times New Roman"/>
                <w:color w:val="auto"/>
                <w:sz w:val="24"/>
                <w:szCs w:val="24"/>
                <w:highlight w:val="none"/>
                <w:u w:val="none" w:color="auto"/>
                <w:lang w:eastAsia="zh-CN"/>
              </w:rPr>
              <w:t>本</w:t>
            </w:r>
            <w:r>
              <w:rPr>
                <w:rFonts w:hint="default" w:ascii="Times New Roman" w:hAnsi="Times New Roman" w:eastAsia="宋体" w:cs="Times New Roman"/>
                <w:color w:val="auto"/>
                <w:sz w:val="24"/>
                <w:szCs w:val="24"/>
                <w:highlight w:val="none"/>
                <w:u w:val="none" w:color="auto"/>
              </w:rPr>
              <w:t>项目涉及</w:t>
            </w:r>
            <w:r>
              <w:rPr>
                <w:rFonts w:hint="default" w:ascii="Times New Roman" w:hAnsi="Times New Roman" w:eastAsia="宋体" w:cs="Times New Roman"/>
                <w:color w:val="auto"/>
                <w:sz w:val="24"/>
                <w:szCs w:val="24"/>
                <w:highlight w:val="none"/>
                <w:u w:val="none" w:color="auto"/>
                <w:lang w:eastAsia="zh-CN"/>
              </w:rPr>
              <w:t>风险</w:t>
            </w:r>
            <w:r>
              <w:rPr>
                <w:rFonts w:hint="default" w:ascii="Times New Roman" w:hAnsi="Times New Roman" w:eastAsia="宋体" w:cs="Times New Roman"/>
                <w:color w:val="auto"/>
                <w:sz w:val="24"/>
                <w:szCs w:val="24"/>
                <w:highlight w:val="none"/>
                <w:u w:val="none" w:color="auto"/>
              </w:rPr>
              <w:t>物质</w:t>
            </w:r>
            <w:r>
              <w:rPr>
                <w:rFonts w:hint="default" w:ascii="Times New Roman" w:hAnsi="Times New Roman" w:eastAsia="宋体" w:cs="Times New Roman"/>
                <w:color w:val="auto"/>
                <w:sz w:val="24"/>
                <w:szCs w:val="24"/>
                <w:highlight w:val="none"/>
                <w:u w:val="none" w:color="auto"/>
                <w:lang w:eastAsia="zh-CN"/>
              </w:rPr>
              <w:t>及环境风险识别情况</w:t>
            </w:r>
            <w:r>
              <w:rPr>
                <w:rFonts w:hint="default" w:ascii="Times New Roman" w:hAnsi="Times New Roman" w:eastAsia="宋体" w:cs="Times New Roman"/>
                <w:color w:val="auto"/>
                <w:sz w:val="24"/>
                <w:szCs w:val="24"/>
                <w:highlight w:val="none"/>
                <w:u w:val="none" w:color="auto"/>
              </w:rPr>
              <w:t>见下表。</w:t>
            </w:r>
          </w:p>
          <w:p w14:paraId="2B999D47">
            <w:pPr>
              <w:pStyle w:val="7"/>
              <w:keepNext w:val="0"/>
              <w:keepLines w:val="0"/>
              <w:pageBreakBefore w:val="0"/>
              <w:widowControl w:val="0"/>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黑体" w:cs="Times New Roman"/>
                <w:b w:val="0"/>
                <w:color w:val="auto"/>
                <w:kern w:val="2"/>
                <w:sz w:val="24"/>
                <w:szCs w:val="24"/>
                <w:highlight w:val="none"/>
                <w:lang w:val="en-US" w:eastAsia="zh-CN" w:bidi="ar-SA"/>
              </w:rPr>
            </w:pPr>
            <w:r>
              <w:rPr>
                <w:rFonts w:hint="default" w:ascii="Times New Roman" w:hAnsi="Times New Roman" w:eastAsia="黑体" w:cs="Times New Roman"/>
                <w:b w:val="0"/>
                <w:color w:val="auto"/>
                <w:kern w:val="2"/>
                <w:sz w:val="24"/>
                <w:szCs w:val="24"/>
                <w:highlight w:val="none"/>
                <w:lang w:val="en-US" w:eastAsia="zh-CN" w:bidi="ar-SA"/>
              </w:rPr>
              <w:t>表</w:t>
            </w:r>
            <w:r>
              <w:rPr>
                <w:rFonts w:hint="eastAsia" w:eastAsia="黑体" w:cs="Times New Roman"/>
                <w:b w:val="0"/>
                <w:color w:val="auto"/>
                <w:kern w:val="2"/>
                <w:sz w:val="24"/>
                <w:szCs w:val="24"/>
                <w:highlight w:val="none"/>
                <w:lang w:val="en-US" w:eastAsia="zh-CN" w:bidi="ar-SA"/>
              </w:rPr>
              <w:t>22</w:t>
            </w:r>
            <w:r>
              <w:rPr>
                <w:rFonts w:hint="default" w:ascii="Times New Roman" w:hAnsi="Times New Roman" w:eastAsia="黑体" w:cs="Times New Roman"/>
                <w:b w:val="0"/>
                <w:color w:val="auto"/>
                <w:kern w:val="2"/>
                <w:sz w:val="24"/>
                <w:szCs w:val="24"/>
                <w:highlight w:val="none"/>
                <w:lang w:val="en-US" w:eastAsia="zh-CN" w:bidi="ar-SA"/>
              </w:rPr>
              <w:t xml:space="preserve">   本项目主要环境风险识别表</w:t>
            </w:r>
          </w:p>
          <w:tbl>
            <w:tblPr>
              <w:tblStyle w:val="17"/>
              <w:tblW w:w="7936"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941"/>
              <w:gridCol w:w="826"/>
              <w:gridCol w:w="977"/>
              <w:gridCol w:w="790"/>
              <w:gridCol w:w="864"/>
              <w:gridCol w:w="2082"/>
              <w:gridCol w:w="1456"/>
            </w:tblGrid>
            <w:tr w14:paraId="512E69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941" w:type="dxa"/>
                  <w:tcBorders>
                    <w:top w:val="single" w:color="auto" w:sz="8" w:space="0"/>
                    <w:bottom w:val="single" w:color="auto" w:sz="8" w:space="0"/>
                    <w:tl2br w:val="nil"/>
                    <w:tr2bl w:val="nil"/>
                  </w:tcBorders>
                  <w:noWrap w:val="0"/>
                  <w:vAlign w:val="center"/>
                </w:tcPr>
                <w:p w14:paraId="1870EE8E">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所属类别</w:t>
                  </w:r>
                </w:p>
              </w:tc>
              <w:tc>
                <w:tcPr>
                  <w:tcW w:w="826" w:type="dxa"/>
                  <w:tcBorders>
                    <w:top w:val="single" w:color="auto" w:sz="8" w:space="0"/>
                    <w:bottom w:val="single" w:color="auto" w:sz="8" w:space="0"/>
                    <w:tl2br w:val="nil"/>
                    <w:tr2bl w:val="nil"/>
                  </w:tcBorders>
                  <w:noWrap w:val="0"/>
                  <w:vAlign w:val="center"/>
                </w:tcPr>
                <w:p w14:paraId="2746A15F">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单元</w:t>
                  </w:r>
                </w:p>
                <w:p w14:paraId="2018927E">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名称</w:t>
                  </w:r>
                </w:p>
              </w:tc>
              <w:tc>
                <w:tcPr>
                  <w:tcW w:w="977" w:type="dxa"/>
                  <w:tcBorders>
                    <w:top w:val="single" w:color="auto" w:sz="8" w:space="0"/>
                    <w:bottom w:val="single" w:color="auto" w:sz="8" w:space="0"/>
                    <w:tl2br w:val="nil"/>
                    <w:tr2bl w:val="nil"/>
                  </w:tcBorders>
                  <w:noWrap w:val="0"/>
                  <w:vAlign w:val="center"/>
                </w:tcPr>
                <w:p w14:paraId="3A5FB3CF">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风险类别</w:t>
                  </w:r>
                </w:p>
              </w:tc>
              <w:tc>
                <w:tcPr>
                  <w:tcW w:w="790" w:type="dxa"/>
                  <w:tcBorders>
                    <w:top w:val="single" w:color="auto" w:sz="8" w:space="0"/>
                    <w:bottom w:val="single" w:color="auto" w:sz="8" w:space="0"/>
                    <w:tl2br w:val="nil"/>
                    <w:tr2bl w:val="nil"/>
                  </w:tcBorders>
                  <w:noWrap w:val="0"/>
                  <w:vAlign w:val="center"/>
                </w:tcPr>
                <w:p w14:paraId="0931EFBC">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风险源</w:t>
                  </w:r>
                </w:p>
              </w:tc>
              <w:tc>
                <w:tcPr>
                  <w:tcW w:w="864" w:type="dxa"/>
                  <w:tcBorders>
                    <w:top w:val="single" w:color="auto" w:sz="8" w:space="0"/>
                    <w:bottom w:val="single" w:color="auto" w:sz="8" w:space="0"/>
                    <w:tl2br w:val="nil"/>
                    <w:tr2bl w:val="nil"/>
                  </w:tcBorders>
                  <w:noWrap w:val="0"/>
                  <w:vAlign w:val="center"/>
                </w:tcPr>
                <w:p w14:paraId="2B752A06">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主要危险物质</w:t>
                  </w:r>
                </w:p>
              </w:tc>
              <w:tc>
                <w:tcPr>
                  <w:tcW w:w="2082" w:type="dxa"/>
                  <w:tcBorders>
                    <w:top w:val="single" w:color="auto" w:sz="8" w:space="0"/>
                    <w:bottom w:val="single" w:color="auto" w:sz="8" w:space="0"/>
                    <w:tl2br w:val="nil"/>
                    <w:tr2bl w:val="nil"/>
                  </w:tcBorders>
                  <w:noWrap w:val="0"/>
                  <w:vAlign w:val="center"/>
                </w:tcPr>
                <w:p w14:paraId="331579A8">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环境影响途径</w:t>
                  </w:r>
                </w:p>
              </w:tc>
              <w:tc>
                <w:tcPr>
                  <w:tcW w:w="1456" w:type="dxa"/>
                  <w:tcBorders>
                    <w:top w:val="single" w:color="auto" w:sz="8" w:space="0"/>
                    <w:bottom w:val="single" w:color="auto" w:sz="8" w:space="0"/>
                    <w:tl2br w:val="nil"/>
                    <w:tr2bl w:val="nil"/>
                  </w:tcBorders>
                  <w:noWrap w:val="0"/>
                  <w:vAlign w:val="center"/>
                </w:tcPr>
                <w:p w14:paraId="5D0FCCEF">
                  <w:pPr>
                    <w:pStyle w:val="29"/>
                    <w:keepNext w:val="0"/>
                    <w:keepLines w:val="0"/>
                    <w:widowControl/>
                    <w:suppressLineNumbers w:val="0"/>
                    <w:spacing w:before="0" w:beforeAutospacing="0" w:after="0" w:afterAutospacing="0"/>
                    <w:ind w:left="0" w:right="0"/>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可能受影响的环境敏感目标</w:t>
                  </w:r>
                </w:p>
              </w:tc>
            </w:tr>
            <w:tr w14:paraId="0CAD54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941" w:type="dxa"/>
                  <w:tcBorders>
                    <w:top w:val="single" w:color="auto" w:sz="8" w:space="0"/>
                    <w:bottom w:val="single" w:color="auto" w:sz="8" w:space="0"/>
                    <w:tl2br w:val="nil"/>
                    <w:tr2bl w:val="nil"/>
                  </w:tcBorders>
                  <w:noWrap w:val="0"/>
                  <w:vAlign w:val="center"/>
                </w:tcPr>
                <w:p w14:paraId="69D6B694">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风险物质</w:t>
                  </w:r>
                  <w:r>
                    <w:rPr>
                      <w:rFonts w:hint="default" w:ascii="Times New Roman" w:hAnsi="Times New Roman" w:cs="Times New Roman"/>
                      <w:bCs/>
                      <w:color w:val="auto"/>
                      <w:sz w:val="21"/>
                      <w:szCs w:val="21"/>
                      <w:highlight w:val="none"/>
                      <w:lang w:eastAsia="zh-CN"/>
                    </w:rPr>
                    <w:t>生产</w:t>
                  </w:r>
                  <w:r>
                    <w:rPr>
                      <w:rFonts w:hint="default" w:ascii="Times New Roman" w:hAnsi="Times New Roman" w:cs="Times New Roman"/>
                      <w:bCs/>
                      <w:color w:val="auto"/>
                      <w:sz w:val="21"/>
                      <w:szCs w:val="21"/>
                      <w:highlight w:val="none"/>
                    </w:rPr>
                    <w:t>使用过程</w:t>
                  </w:r>
                </w:p>
              </w:tc>
              <w:tc>
                <w:tcPr>
                  <w:tcW w:w="826" w:type="dxa"/>
                  <w:tcBorders>
                    <w:top w:val="single" w:color="auto" w:sz="8" w:space="0"/>
                    <w:bottom w:val="single" w:color="auto" w:sz="8" w:space="0"/>
                    <w:right w:val="single" w:color="auto" w:sz="4" w:space="0"/>
                    <w:tl2br w:val="nil"/>
                    <w:tr2bl w:val="nil"/>
                  </w:tcBorders>
                  <w:noWrap w:val="0"/>
                  <w:vAlign w:val="center"/>
                </w:tcPr>
                <w:p w14:paraId="2370ACC5">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储运</w:t>
                  </w:r>
                </w:p>
                <w:p w14:paraId="52571628">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工程</w:t>
                  </w:r>
                </w:p>
              </w:tc>
              <w:tc>
                <w:tcPr>
                  <w:tcW w:w="977" w:type="dxa"/>
                  <w:tcBorders>
                    <w:top w:val="single" w:color="auto" w:sz="8" w:space="0"/>
                    <w:left w:val="single" w:color="auto" w:sz="4" w:space="0"/>
                    <w:bottom w:val="single" w:color="auto" w:sz="8" w:space="0"/>
                    <w:tl2br w:val="nil"/>
                    <w:tr2bl w:val="nil"/>
                  </w:tcBorders>
                  <w:noWrap w:val="0"/>
                  <w:vAlign w:val="center"/>
                </w:tcPr>
                <w:p w14:paraId="7CFB3E6B">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物料泄漏事故</w:t>
                  </w:r>
                </w:p>
              </w:tc>
              <w:tc>
                <w:tcPr>
                  <w:tcW w:w="790" w:type="dxa"/>
                  <w:tcBorders>
                    <w:top w:val="single" w:color="auto" w:sz="8" w:space="0"/>
                    <w:bottom w:val="single" w:color="auto" w:sz="8" w:space="0"/>
                    <w:tl2br w:val="nil"/>
                    <w:tr2bl w:val="nil"/>
                  </w:tcBorders>
                  <w:noWrap w:val="0"/>
                  <w:vAlign w:val="center"/>
                </w:tcPr>
                <w:p w14:paraId="23A67EB6">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lang w:val="en-US"/>
                    </w:rPr>
                  </w:pPr>
                  <w:r>
                    <w:rPr>
                      <w:rFonts w:hint="eastAsia" w:ascii="Times New Roman" w:hAnsi="Times New Roman" w:cs="Times New Roman"/>
                      <w:bCs/>
                      <w:color w:val="auto"/>
                      <w:sz w:val="21"/>
                      <w:szCs w:val="21"/>
                      <w:highlight w:val="none"/>
                      <w:lang w:val="en-US" w:eastAsia="zh-CN"/>
                    </w:rPr>
                    <w:t>原料库</w:t>
                  </w:r>
                </w:p>
              </w:tc>
              <w:tc>
                <w:tcPr>
                  <w:tcW w:w="864" w:type="dxa"/>
                  <w:tcBorders>
                    <w:top w:val="single" w:color="auto" w:sz="8" w:space="0"/>
                    <w:bottom w:val="single" w:color="auto" w:sz="8" w:space="0"/>
                    <w:tl2br w:val="nil"/>
                    <w:tr2bl w:val="nil"/>
                  </w:tcBorders>
                  <w:noWrap w:val="0"/>
                  <w:vAlign w:val="center"/>
                </w:tcPr>
                <w:p w14:paraId="588B85E1">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lang w:val="en-US" w:eastAsia="zh-CN"/>
                    </w:rPr>
                  </w:pPr>
                  <w:r>
                    <w:rPr>
                      <w:rFonts w:hint="eastAsia" w:ascii="Times New Roman" w:hAnsi="Times New Roman" w:cs="Times New Roman"/>
                      <w:bCs/>
                      <w:color w:val="auto"/>
                      <w:sz w:val="21"/>
                      <w:szCs w:val="21"/>
                      <w:highlight w:val="none"/>
                      <w:lang w:val="en-US" w:eastAsia="zh-CN"/>
                    </w:rPr>
                    <w:t>氢氧化钾溶液</w:t>
                  </w:r>
                </w:p>
              </w:tc>
              <w:tc>
                <w:tcPr>
                  <w:tcW w:w="2082" w:type="dxa"/>
                  <w:tcBorders>
                    <w:top w:val="single" w:color="auto" w:sz="8" w:space="0"/>
                    <w:bottom w:val="single" w:color="auto" w:sz="8" w:space="0"/>
                    <w:tl2br w:val="nil"/>
                    <w:tr2bl w:val="nil"/>
                  </w:tcBorders>
                  <w:noWrap w:val="0"/>
                  <w:vAlign w:val="center"/>
                </w:tcPr>
                <w:p w14:paraId="257F059B">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泄漏</w:t>
                  </w:r>
                  <w:r>
                    <w:rPr>
                      <w:rFonts w:hint="default" w:ascii="Times New Roman" w:hAnsi="Times New Roman" w:cs="Times New Roman"/>
                      <w:bCs/>
                      <w:color w:val="auto"/>
                      <w:sz w:val="21"/>
                      <w:szCs w:val="21"/>
                      <w:highlight w:val="none"/>
                      <w:lang w:eastAsia="zh-CN"/>
                    </w:rPr>
                    <w:t>污染地下水及土壤</w:t>
                  </w:r>
                  <w:r>
                    <w:rPr>
                      <w:rFonts w:hint="default" w:ascii="Times New Roman" w:hAnsi="Times New Roman" w:cs="Times New Roman"/>
                      <w:bCs/>
                      <w:color w:val="auto"/>
                      <w:sz w:val="21"/>
                      <w:szCs w:val="21"/>
                      <w:highlight w:val="none"/>
                    </w:rPr>
                    <w:t>环境</w:t>
                  </w:r>
                </w:p>
              </w:tc>
              <w:tc>
                <w:tcPr>
                  <w:tcW w:w="1456" w:type="dxa"/>
                  <w:tcBorders>
                    <w:top w:val="single" w:color="auto" w:sz="8" w:space="0"/>
                    <w:bottom w:val="single" w:color="auto" w:sz="8" w:space="0"/>
                    <w:tl2br w:val="nil"/>
                    <w:tr2bl w:val="nil"/>
                  </w:tcBorders>
                  <w:noWrap w:val="0"/>
                  <w:vAlign w:val="center"/>
                </w:tcPr>
                <w:p w14:paraId="3540A7AF">
                  <w:pPr>
                    <w:keepNext w:val="0"/>
                    <w:keepLines w:val="0"/>
                    <w:pageBreakBefore w:val="0"/>
                    <w:widowControl w:val="0"/>
                    <w:suppressLineNumbers w:val="0"/>
                    <w:kinsoku/>
                    <w:wordWrap/>
                    <w:overflowPunct/>
                    <w:topLinePunct w:val="0"/>
                    <w:autoSpaceDE/>
                    <w:autoSpaceDN/>
                    <w:bidi w:val="0"/>
                    <w:adjustRightInd w:val="0"/>
                    <w:snapToGrid w:val="0"/>
                    <w:spacing w:before="0" w:beforeLines="-2147483648" w:beforeAutospacing="0" w:after="0" w:afterAutospacing="0" w:line="240" w:lineRule="auto"/>
                    <w:ind w:left="21" w:leftChars="10" w:right="21" w:rightChars="10" w:firstLine="0" w:firstLine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周边居民</w:t>
                  </w:r>
                  <w:r>
                    <w:rPr>
                      <w:rFonts w:hint="default" w:ascii="Times New Roman" w:hAnsi="Times New Roman" w:cs="Times New Roman"/>
                      <w:bCs/>
                      <w:color w:val="auto"/>
                      <w:sz w:val="21"/>
                      <w:szCs w:val="21"/>
                      <w:highlight w:val="none"/>
                      <w:lang w:eastAsia="zh-CN"/>
                    </w:rPr>
                    <w:t>、</w:t>
                  </w:r>
                  <w:r>
                    <w:rPr>
                      <w:rFonts w:hint="default" w:ascii="Times New Roman" w:hAnsi="Times New Roman" w:cs="Times New Roman"/>
                      <w:bCs/>
                      <w:color w:val="auto"/>
                      <w:sz w:val="21"/>
                      <w:szCs w:val="21"/>
                      <w:highlight w:val="none"/>
                    </w:rPr>
                    <w:t>土壤、地下水环境</w:t>
                  </w:r>
                </w:p>
              </w:tc>
            </w:tr>
          </w:tbl>
          <w:p w14:paraId="161C5763">
            <w:pPr>
              <w:keepNext w:val="0"/>
              <w:keepLines w:val="0"/>
              <w:pageBreakBefore w:val="0"/>
              <w:widowControl w:val="0"/>
              <w:suppressLineNumbers w:val="0"/>
              <w:kinsoku/>
              <w:wordWrap/>
              <w:overflowPunct/>
              <w:topLinePunct w:val="0"/>
              <w:autoSpaceDE w:val="0"/>
              <w:autoSpaceDN w:val="0"/>
              <w:bidi w:val="0"/>
              <w:adjustRightInd w:val="0"/>
              <w:snapToGrid w:val="0"/>
              <w:spacing w:before="157" w:beforeLines="50" w:beforeAutospacing="0" w:after="0" w:afterAutospacing="0" w:line="360" w:lineRule="auto"/>
              <w:ind w:left="0" w:right="0" w:firstLine="482" w:firstLineChars="200"/>
              <w:textAlignment w:val="auto"/>
              <w:rPr>
                <w:rFonts w:hint="default" w:ascii="Times New Roman" w:hAnsi="Times New Roman" w:eastAsia="宋体" w:cs="Times New Roman"/>
                <w:b/>
                <w:bCs/>
                <w:color w:val="auto"/>
                <w:sz w:val="24"/>
                <w:szCs w:val="24"/>
                <w:highlight w:val="none"/>
                <w:u w:val="none" w:color="auto"/>
                <w:lang w:val="en-US" w:eastAsia="zh-CN"/>
              </w:rPr>
            </w:pPr>
            <w:r>
              <w:rPr>
                <w:rFonts w:hint="default" w:ascii="Times New Roman" w:hAnsi="Times New Roman" w:eastAsia="宋体" w:cs="Times New Roman"/>
                <w:b/>
                <w:bCs/>
                <w:color w:val="auto"/>
                <w:sz w:val="24"/>
                <w:szCs w:val="24"/>
                <w:highlight w:val="none"/>
                <w:u w:val="none" w:color="auto"/>
                <w:lang w:val="en-US" w:eastAsia="zh-CN"/>
              </w:rPr>
              <w:t>（3）环境风险防范措施</w:t>
            </w:r>
          </w:p>
          <w:p w14:paraId="1B6628F0">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rPr>
                <w:rFonts w:hint="default" w:ascii="Times New Roman" w:hAnsi="Times New Roman" w:cs="Times New Roman"/>
                <w:color w:val="auto"/>
                <w:sz w:val="24"/>
                <w:szCs w:val="32"/>
              </w:rPr>
            </w:pPr>
            <w:r>
              <w:rPr>
                <w:rFonts w:hint="eastAsia" w:cs="Times New Roman"/>
                <w:color w:val="auto"/>
                <w:sz w:val="24"/>
                <w:szCs w:val="32"/>
                <w:lang w:val="en-US" w:eastAsia="zh-CN"/>
              </w:rPr>
              <w:t>①</w:t>
            </w:r>
            <w:r>
              <w:rPr>
                <w:rFonts w:hint="eastAsia" w:ascii="Times New Roman" w:hAnsi="Times New Roman" w:cs="Times New Roman"/>
                <w:color w:val="auto"/>
                <w:sz w:val="24"/>
                <w:szCs w:val="32"/>
                <w:lang w:val="en-US" w:eastAsia="zh-CN"/>
              </w:rPr>
              <w:t>氢氧化钾溶液</w:t>
            </w:r>
            <w:r>
              <w:rPr>
                <w:rFonts w:hint="default" w:ascii="Times New Roman" w:hAnsi="Times New Roman" w:cs="Times New Roman"/>
                <w:color w:val="auto"/>
                <w:sz w:val="24"/>
                <w:szCs w:val="32"/>
              </w:rPr>
              <w:t>储存处设置围堰、导流槽和收集池；</w:t>
            </w:r>
          </w:p>
          <w:p w14:paraId="0ECAFCE0">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rPr>
                <w:rFonts w:hint="default" w:ascii="Times New Roman" w:hAnsi="Times New Roman" w:cs="Times New Roman"/>
                <w:color w:val="auto"/>
                <w:sz w:val="24"/>
                <w:szCs w:val="32"/>
              </w:rPr>
            </w:pPr>
            <w:r>
              <w:rPr>
                <w:rFonts w:hint="eastAsia" w:cs="Times New Roman"/>
                <w:color w:val="auto"/>
                <w:sz w:val="24"/>
                <w:szCs w:val="32"/>
                <w:lang w:val="en-US" w:eastAsia="zh-CN"/>
              </w:rPr>
              <w:t>②</w:t>
            </w:r>
            <w:r>
              <w:rPr>
                <w:rFonts w:hint="default" w:ascii="Times New Roman" w:hAnsi="Times New Roman" w:cs="Times New Roman"/>
                <w:color w:val="auto"/>
                <w:sz w:val="24"/>
                <w:szCs w:val="32"/>
              </w:rPr>
              <w:t>杜绝火源</w:t>
            </w:r>
            <w:r>
              <w:rPr>
                <w:rFonts w:hint="eastAsia" w:ascii="Times New Roman" w:hAnsi="Times New Roman" w:cs="Times New Roman"/>
                <w:color w:val="auto"/>
                <w:sz w:val="24"/>
                <w:szCs w:val="32"/>
                <w:lang w:eastAsia="zh-CN"/>
              </w:rPr>
              <w:t>，</w:t>
            </w:r>
            <w:r>
              <w:rPr>
                <w:rFonts w:hint="default" w:ascii="Times New Roman" w:hAnsi="Times New Roman" w:cs="Times New Roman"/>
                <w:color w:val="auto"/>
                <w:sz w:val="24"/>
                <w:szCs w:val="32"/>
              </w:rPr>
              <w:t>与还原剂、酸类、易燃物等分开存放，不宜大量储存或久存；</w:t>
            </w:r>
          </w:p>
          <w:p w14:paraId="7652F7E9">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rPr>
                <w:rFonts w:hint="default" w:ascii="Times New Roman" w:hAnsi="Times New Roman" w:cs="Times New Roman"/>
                <w:color w:val="auto"/>
                <w:sz w:val="24"/>
                <w:szCs w:val="32"/>
              </w:rPr>
            </w:pPr>
            <w:r>
              <w:rPr>
                <w:rFonts w:hint="eastAsia" w:cs="Times New Roman"/>
                <w:color w:val="auto"/>
                <w:sz w:val="24"/>
                <w:szCs w:val="32"/>
                <w:lang w:val="en-US" w:eastAsia="zh-CN"/>
              </w:rPr>
              <w:t>③</w:t>
            </w:r>
            <w:r>
              <w:rPr>
                <w:rFonts w:hint="default" w:ascii="Times New Roman" w:hAnsi="Times New Roman" w:cs="Times New Roman"/>
                <w:color w:val="auto"/>
                <w:sz w:val="24"/>
                <w:szCs w:val="32"/>
              </w:rPr>
              <w:t>专人负责，建立安全管理制度，配套相应的设施，加强人员培训，预防事故发生；</w:t>
            </w:r>
          </w:p>
          <w:p w14:paraId="1668C10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line="360" w:lineRule="auto"/>
              <w:ind w:left="0" w:right="0" w:firstLine="480" w:firstLineChars="200"/>
              <w:textAlignment w:val="baseline"/>
              <w:rPr>
                <w:rFonts w:hint="default" w:ascii="Times New Roman" w:hAnsi="Times New Roman" w:eastAsia="宋体" w:cs="Times New Roman"/>
                <w:color w:val="auto"/>
                <w:sz w:val="24"/>
                <w:szCs w:val="32"/>
                <w:lang w:val="en-US" w:eastAsia="zh-CN"/>
              </w:rPr>
            </w:pPr>
            <w:r>
              <w:rPr>
                <w:rFonts w:hint="eastAsia" w:cs="Times New Roman"/>
                <w:color w:val="auto"/>
                <w:sz w:val="24"/>
                <w:szCs w:val="32"/>
                <w:lang w:val="en-US" w:eastAsia="zh-CN"/>
              </w:rPr>
              <w:t>④</w:t>
            </w:r>
            <w:r>
              <w:rPr>
                <w:rFonts w:hint="default" w:ascii="Times New Roman" w:hAnsi="Times New Roman" w:cs="Times New Roman"/>
                <w:color w:val="auto"/>
                <w:sz w:val="24"/>
                <w:szCs w:val="32"/>
              </w:rPr>
              <w:t>评价建议</w:t>
            </w:r>
            <w:r>
              <w:rPr>
                <w:rFonts w:hint="eastAsia" w:cs="Times New Roman"/>
                <w:color w:val="auto"/>
                <w:sz w:val="24"/>
                <w:szCs w:val="32"/>
                <w:lang w:val="en-US" w:eastAsia="zh-CN"/>
              </w:rPr>
              <w:t>企业应制定突发环境事件应急预案，并配备相应应急物资，定期进行应急演练。</w:t>
            </w:r>
          </w:p>
          <w:p w14:paraId="46878688">
            <w:pPr>
              <w:keepNext w:val="0"/>
              <w:keepLines w:val="0"/>
              <w:pageBreakBefore w:val="0"/>
              <w:widowControl w:val="0"/>
              <w:kinsoku/>
              <w:wordWrap/>
              <w:overflowPunct/>
              <w:topLinePunct w:val="0"/>
              <w:autoSpaceDE/>
              <w:autoSpaceDN/>
              <w:bidi w:val="0"/>
              <w:spacing w:before="157" w:beforeLines="50" w:line="360" w:lineRule="auto"/>
              <w:ind w:firstLine="482" w:firstLineChars="200"/>
              <w:textAlignment w:val="baseline"/>
              <w:rPr>
                <w:rFonts w:hint="eastAsia" w:ascii="Times New Roman" w:hAnsi="Times New Roman" w:eastAsia="宋体" w:cs="Times New Roman"/>
                <w:b/>
                <w:color w:val="auto"/>
                <w:sz w:val="24"/>
                <w:highlight w:val="none"/>
                <w:lang w:val="en-US" w:eastAsia="zh-CN"/>
              </w:rPr>
            </w:pPr>
            <w:r>
              <w:rPr>
                <w:rFonts w:hint="eastAsia" w:cs="Times New Roman"/>
                <w:b/>
                <w:color w:val="auto"/>
                <w:sz w:val="24"/>
                <w:highlight w:val="none"/>
                <w:lang w:val="en-US" w:eastAsia="zh-CN"/>
              </w:rPr>
              <w:t>八</w:t>
            </w:r>
            <w:r>
              <w:rPr>
                <w:rFonts w:hint="eastAsia" w:ascii="Times New Roman" w:hAnsi="Times New Roman" w:eastAsia="宋体" w:cs="Times New Roman"/>
                <w:b/>
                <w:color w:val="auto"/>
                <w:sz w:val="24"/>
                <w:highlight w:val="none"/>
                <w:lang w:val="en-US" w:eastAsia="zh-CN"/>
              </w:rPr>
              <w:t>、电磁辐射</w:t>
            </w:r>
          </w:p>
          <w:p w14:paraId="4C4D2C9D">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rPr>
                <w:rFonts w:hint="eastAsia" w:ascii="宋体" w:hAnsi="宋体" w:eastAsia="宋体" w:cs="Times New Roman"/>
                <w:bCs/>
                <w:color w:val="auto"/>
                <w:sz w:val="24"/>
                <w:highlight w:val="none"/>
                <w:lang w:val="en-US" w:eastAsia="zh-CN"/>
              </w:rPr>
            </w:pPr>
            <w:r>
              <w:rPr>
                <w:rFonts w:hint="eastAsia" w:ascii="宋体" w:hAnsi="宋体" w:eastAsia="宋体" w:cs="Times New Roman"/>
                <w:bCs/>
                <w:color w:val="auto"/>
                <w:sz w:val="24"/>
                <w:highlight w:val="none"/>
                <w:lang w:val="en-US" w:eastAsia="zh-CN"/>
              </w:rPr>
              <w:t>本项目不涉及辐射源，故不对电磁辐射做评价分析。</w:t>
            </w:r>
          </w:p>
          <w:p w14:paraId="44CEC77B">
            <w:pPr>
              <w:rPr>
                <w:rFonts w:hint="default"/>
                <w:color w:val="auto"/>
                <w:lang w:val="en-US" w:eastAsia="zh-CN"/>
              </w:rPr>
            </w:pPr>
          </w:p>
          <w:p w14:paraId="3524E616">
            <w:pPr>
              <w:pStyle w:val="10"/>
              <w:rPr>
                <w:rFonts w:hint="default"/>
                <w:color w:val="auto"/>
                <w:lang w:val="en-US" w:eastAsia="zh-CN"/>
              </w:rPr>
            </w:pPr>
          </w:p>
          <w:p w14:paraId="529F5D19">
            <w:pPr>
              <w:rPr>
                <w:rFonts w:hint="default"/>
                <w:color w:val="auto"/>
                <w:lang w:val="en-US" w:eastAsia="zh-CN"/>
              </w:rPr>
            </w:pPr>
          </w:p>
          <w:p w14:paraId="563707D2">
            <w:pPr>
              <w:pStyle w:val="10"/>
              <w:rPr>
                <w:rFonts w:hint="default"/>
                <w:color w:val="auto"/>
                <w:lang w:val="en-US" w:eastAsia="zh-CN"/>
              </w:rPr>
            </w:pPr>
          </w:p>
          <w:p w14:paraId="3A001464">
            <w:pPr>
              <w:rPr>
                <w:rFonts w:hint="default"/>
                <w:color w:val="auto"/>
                <w:lang w:val="en-US" w:eastAsia="zh-CN"/>
              </w:rPr>
            </w:pPr>
          </w:p>
          <w:p w14:paraId="21B4C0AC">
            <w:pPr>
              <w:pStyle w:val="10"/>
              <w:ind w:left="0" w:leftChars="0" w:firstLine="0" w:firstLineChars="0"/>
              <w:rPr>
                <w:rFonts w:hint="eastAsia" w:eastAsia="宋体"/>
                <w:color w:val="auto"/>
                <w:sz w:val="24"/>
                <w:lang w:val="en-US" w:eastAsia="zh-CN"/>
              </w:rPr>
            </w:pPr>
          </w:p>
        </w:tc>
      </w:tr>
    </w:tbl>
    <w:p w14:paraId="67264D4F">
      <w:pPr>
        <w:adjustRightInd w:val="0"/>
        <w:snapToGrid w:val="0"/>
        <w:spacing w:line="360" w:lineRule="auto"/>
        <w:rPr>
          <w:rFonts w:hint="eastAsia" w:ascii="宋体" w:cs="宋体"/>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858C59F">
      <w:pPr>
        <w:pStyle w:val="16"/>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五、</w:t>
      </w:r>
      <w:bookmarkStart w:id="3" w:name="_Hlk54167917"/>
      <w:r>
        <w:rPr>
          <w:rFonts w:hint="eastAsia" w:ascii="黑体" w:hAnsi="黑体" w:eastAsia="黑体"/>
          <w:snapToGrid w:val="0"/>
          <w:color w:val="auto"/>
          <w:sz w:val="30"/>
          <w:szCs w:val="30"/>
          <w:highlight w:val="none"/>
        </w:rPr>
        <w:t>环境保护措施监督检查清单</w:t>
      </w:r>
      <w:bookmarkEnd w:id="3"/>
    </w:p>
    <w:tbl>
      <w:tblPr>
        <w:tblStyle w:val="17"/>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2"/>
        <w:gridCol w:w="1719"/>
        <w:gridCol w:w="1433"/>
        <w:gridCol w:w="2125"/>
        <w:gridCol w:w="2596"/>
      </w:tblGrid>
      <w:tr w14:paraId="474EF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3" w:type="pct"/>
            <w:tcBorders>
              <w:tl2br w:val="single" w:color="auto" w:sz="4" w:space="0"/>
            </w:tcBorders>
            <w:noWrap w:val="0"/>
            <w:vAlign w:val="top"/>
          </w:tcPr>
          <w:p w14:paraId="5AAD04A1">
            <w:pPr>
              <w:adjustRightInd w:val="0"/>
              <w:snapToGrid w:val="0"/>
              <w:ind w:firstLine="480"/>
              <w:rPr>
                <w:rFonts w:hAnsi="宋体"/>
                <w:b/>
                <w:color w:val="auto"/>
                <w:sz w:val="24"/>
              </w:rPr>
            </w:pPr>
            <w:r>
              <w:rPr>
                <w:rFonts w:hAnsi="宋体"/>
                <w:b/>
                <w:color w:val="auto"/>
                <w:sz w:val="24"/>
              </w:rPr>
              <w:t>内容</w:t>
            </w:r>
          </w:p>
          <w:p w14:paraId="3FA594FC">
            <w:pPr>
              <w:adjustRightInd w:val="0"/>
              <w:snapToGrid w:val="0"/>
              <w:ind w:firstLine="480"/>
              <w:rPr>
                <w:rFonts w:hAnsi="宋体"/>
                <w:b/>
                <w:color w:val="auto"/>
                <w:sz w:val="24"/>
              </w:rPr>
            </w:pPr>
          </w:p>
          <w:p w14:paraId="3CC208BD">
            <w:pPr>
              <w:adjustRightInd w:val="0"/>
              <w:snapToGrid w:val="0"/>
              <w:rPr>
                <w:b/>
                <w:color w:val="auto"/>
                <w:sz w:val="24"/>
              </w:rPr>
            </w:pPr>
            <w:r>
              <w:rPr>
                <w:rFonts w:hAnsi="宋体"/>
                <w:b/>
                <w:color w:val="auto"/>
                <w:sz w:val="24"/>
              </w:rPr>
              <w:t>要素</w:t>
            </w:r>
          </w:p>
        </w:tc>
        <w:tc>
          <w:tcPr>
            <w:tcW w:w="949" w:type="pct"/>
            <w:noWrap w:val="0"/>
            <w:vAlign w:val="center"/>
          </w:tcPr>
          <w:p w14:paraId="373F3057">
            <w:pPr>
              <w:adjustRightInd w:val="0"/>
              <w:snapToGrid w:val="0"/>
              <w:jc w:val="center"/>
              <w:rPr>
                <w:b/>
                <w:color w:val="auto"/>
                <w:sz w:val="24"/>
              </w:rPr>
            </w:pPr>
            <w:r>
              <w:rPr>
                <w:rFonts w:hAnsi="宋体"/>
                <w:b/>
                <w:color w:val="auto"/>
                <w:sz w:val="24"/>
              </w:rPr>
              <w:t>排放口</w:t>
            </w:r>
            <w:r>
              <w:rPr>
                <w:b/>
                <w:color w:val="auto"/>
                <w:sz w:val="24"/>
              </w:rPr>
              <w:t>(</w:t>
            </w:r>
            <w:r>
              <w:rPr>
                <w:rFonts w:hAnsi="宋体"/>
                <w:b/>
                <w:color w:val="auto"/>
                <w:sz w:val="24"/>
              </w:rPr>
              <w:t>编号、名称</w:t>
            </w:r>
            <w:r>
              <w:rPr>
                <w:b/>
                <w:color w:val="auto"/>
                <w:sz w:val="24"/>
              </w:rPr>
              <w:t>)/</w:t>
            </w:r>
            <w:r>
              <w:rPr>
                <w:rFonts w:hAnsi="宋体"/>
                <w:b/>
                <w:color w:val="auto"/>
                <w:sz w:val="24"/>
              </w:rPr>
              <w:t>污染源</w:t>
            </w:r>
          </w:p>
        </w:tc>
        <w:tc>
          <w:tcPr>
            <w:tcW w:w="791" w:type="pct"/>
            <w:noWrap w:val="0"/>
            <w:vAlign w:val="center"/>
          </w:tcPr>
          <w:p w14:paraId="193A4499">
            <w:pPr>
              <w:adjustRightInd w:val="0"/>
              <w:snapToGrid w:val="0"/>
              <w:jc w:val="center"/>
              <w:rPr>
                <w:b/>
                <w:color w:val="auto"/>
                <w:sz w:val="24"/>
              </w:rPr>
            </w:pPr>
            <w:r>
              <w:rPr>
                <w:rFonts w:hAnsi="宋体"/>
                <w:b/>
                <w:color w:val="auto"/>
                <w:sz w:val="24"/>
              </w:rPr>
              <w:t>污染物项目</w:t>
            </w:r>
          </w:p>
        </w:tc>
        <w:tc>
          <w:tcPr>
            <w:tcW w:w="1173" w:type="pct"/>
            <w:noWrap w:val="0"/>
            <w:vAlign w:val="center"/>
          </w:tcPr>
          <w:p w14:paraId="2B9F0A07">
            <w:pPr>
              <w:adjustRightInd w:val="0"/>
              <w:snapToGrid w:val="0"/>
              <w:jc w:val="center"/>
              <w:rPr>
                <w:b/>
                <w:color w:val="auto"/>
                <w:sz w:val="24"/>
              </w:rPr>
            </w:pPr>
            <w:r>
              <w:rPr>
                <w:rFonts w:hAnsi="宋体"/>
                <w:b/>
                <w:color w:val="auto"/>
                <w:sz w:val="24"/>
              </w:rPr>
              <w:t>环境保护措施</w:t>
            </w:r>
          </w:p>
        </w:tc>
        <w:tc>
          <w:tcPr>
            <w:tcW w:w="1432" w:type="pct"/>
            <w:noWrap w:val="0"/>
            <w:vAlign w:val="center"/>
          </w:tcPr>
          <w:p w14:paraId="6498C4E2">
            <w:pPr>
              <w:adjustRightInd w:val="0"/>
              <w:snapToGrid w:val="0"/>
              <w:jc w:val="center"/>
              <w:rPr>
                <w:b/>
                <w:color w:val="auto"/>
                <w:sz w:val="24"/>
              </w:rPr>
            </w:pPr>
            <w:r>
              <w:rPr>
                <w:rFonts w:hAnsi="宋体"/>
                <w:b/>
                <w:color w:val="auto"/>
                <w:sz w:val="24"/>
              </w:rPr>
              <w:t>执行标准</w:t>
            </w:r>
          </w:p>
        </w:tc>
      </w:tr>
      <w:tr w14:paraId="71B64E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noWrap w:val="0"/>
            <w:vAlign w:val="center"/>
          </w:tcPr>
          <w:p w14:paraId="149EAE0A">
            <w:pPr>
              <w:adjustRightInd w:val="0"/>
              <w:snapToGrid w:val="0"/>
              <w:jc w:val="center"/>
              <w:rPr>
                <w:rFonts w:hAnsi="宋体"/>
                <w:color w:val="auto"/>
                <w:sz w:val="24"/>
              </w:rPr>
            </w:pPr>
            <w:r>
              <w:rPr>
                <w:rFonts w:hAnsi="宋体"/>
                <w:color w:val="auto"/>
                <w:sz w:val="24"/>
              </w:rPr>
              <w:t>大气环境</w:t>
            </w:r>
          </w:p>
        </w:tc>
        <w:tc>
          <w:tcPr>
            <w:tcW w:w="949" w:type="pct"/>
            <w:noWrap w:val="0"/>
            <w:vAlign w:val="center"/>
          </w:tcPr>
          <w:p w14:paraId="36FD15B3">
            <w:pPr>
              <w:adjustRightInd w:val="0"/>
              <w:snapToGrid w:val="0"/>
              <w:jc w:val="center"/>
              <w:rPr>
                <w:rFonts w:hint="default" w:eastAsia="宋体"/>
                <w:color w:val="auto"/>
                <w:sz w:val="24"/>
                <w:lang w:val="en-US" w:eastAsia="zh-CN"/>
              </w:rPr>
            </w:pPr>
            <w:r>
              <w:rPr>
                <w:rFonts w:hint="eastAsia" w:eastAsia="宋体"/>
                <w:color w:val="auto"/>
                <w:sz w:val="24"/>
                <w:lang w:val="en-US" w:eastAsia="zh-CN"/>
              </w:rPr>
              <w:t>/</w:t>
            </w:r>
          </w:p>
        </w:tc>
        <w:tc>
          <w:tcPr>
            <w:tcW w:w="791" w:type="pct"/>
            <w:noWrap w:val="0"/>
            <w:vAlign w:val="center"/>
          </w:tcPr>
          <w:p w14:paraId="4AD88503">
            <w:pPr>
              <w:adjustRightInd w:val="0"/>
              <w:snapToGrid w:val="0"/>
              <w:jc w:val="center"/>
              <w:rPr>
                <w:rFonts w:hint="eastAsia" w:eastAsia="宋体"/>
                <w:color w:val="auto"/>
                <w:sz w:val="24"/>
                <w:lang w:val="en-US" w:eastAsia="zh-CN"/>
              </w:rPr>
            </w:pPr>
            <w:r>
              <w:rPr>
                <w:rFonts w:hint="eastAsia"/>
                <w:color w:val="auto"/>
                <w:sz w:val="24"/>
                <w:lang w:val="en-US" w:eastAsia="zh-CN"/>
              </w:rPr>
              <w:t>/</w:t>
            </w:r>
          </w:p>
        </w:tc>
        <w:tc>
          <w:tcPr>
            <w:tcW w:w="1173" w:type="pct"/>
            <w:noWrap w:val="0"/>
            <w:vAlign w:val="center"/>
          </w:tcPr>
          <w:p w14:paraId="4389B1C5">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w:t>
            </w:r>
          </w:p>
        </w:tc>
        <w:tc>
          <w:tcPr>
            <w:tcW w:w="1432" w:type="pct"/>
            <w:noWrap w:val="0"/>
            <w:vAlign w:val="center"/>
          </w:tcPr>
          <w:p w14:paraId="05022522">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w:t>
            </w:r>
          </w:p>
        </w:tc>
      </w:tr>
      <w:tr w14:paraId="20B6E2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noWrap w:val="0"/>
            <w:vAlign w:val="center"/>
          </w:tcPr>
          <w:p w14:paraId="3C70306E">
            <w:pPr>
              <w:adjustRightInd w:val="0"/>
              <w:snapToGrid w:val="0"/>
              <w:jc w:val="center"/>
              <w:rPr>
                <w:rFonts w:hAnsi="宋体"/>
                <w:color w:val="auto"/>
                <w:sz w:val="24"/>
              </w:rPr>
            </w:pPr>
            <w:r>
              <w:rPr>
                <w:rFonts w:hAnsi="宋体"/>
                <w:color w:val="auto"/>
                <w:sz w:val="24"/>
              </w:rPr>
              <w:t>地表水</w:t>
            </w:r>
          </w:p>
          <w:p w14:paraId="00F3FBD8">
            <w:pPr>
              <w:adjustRightInd w:val="0"/>
              <w:snapToGrid w:val="0"/>
              <w:jc w:val="center"/>
              <w:rPr>
                <w:color w:val="auto"/>
                <w:sz w:val="24"/>
              </w:rPr>
            </w:pPr>
            <w:r>
              <w:rPr>
                <w:rFonts w:hAnsi="宋体"/>
                <w:color w:val="auto"/>
                <w:sz w:val="24"/>
              </w:rPr>
              <w:t>环境</w:t>
            </w:r>
          </w:p>
        </w:tc>
        <w:tc>
          <w:tcPr>
            <w:tcW w:w="949" w:type="pct"/>
            <w:noWrap w:val="0"/>
            <w:vAlign w:val="center"/>
          </w:tcPr>
          <w:p w14:paraId="24B4394A">
            <w:pPr>
              <w:adjustRightInd w:val="0"/>
              <w:snapToGrid w:val="0"/>
              <w:jc w:val="center"/>
              <w:rPr>
                <w:rFonts w:hint="default" w:eastAsia="宋体"/>
                <w:color w:val="auto"/>
                <w:sz w:val="24"/>
                <w:lang w:val="en-US" w:eastAsia="zh-CN"/>
              </w:rPr>
            </w:pPr>
            <w:r>
              <w:rPr>
                <w:rFonts w:hint="eastAsia"/>
                <w:color w:val="auto"/>
                <w:sz w:val="24"/>
                <w:lang w:val="en-US" w:eastAsia="zh-CN"/>
              </w:rPr>
              <w:t>/</w:t>
            </w:r>
          </w:p>
        </w:tc>
        <w:tc>
          <w:tcPr>
            <w:tcW w:w="791" w:type="pct"/>
            <w:noWrap w:val="0"/>
            <w:vAlign w:val="center"/>
          </w:tcPr>
          <w:p w14:paraId="66093C12">
            <w:pPr>
              <w:adjustRightInd w:val="0"/>
              <w:snapToGrid w:val="0"/>
              <w:jc w:val="center"/>
              <w:rPr>
                <w:rFonts w:hint="default" w:eastAsia="宋体"/>
                <w:color w:val="auto"/>
                <w:sz w:val="24"/>
                <w:lang w:val="en-US" w:eastAsia="zh-CN"/>
              </w:rPr>
            </w:pPr>
            <w:r>
              <w:rPr>
                <w:rFonts w:hint="default" w:ascii="Times New Roman" w:hAnsi="Times New Roman" w:eastAsia="宋体" w:cs="Times New Roman"/>
                <w:color w:val="auto"/>
                <w:kern w:val="2"/>
                <w:sz w:val="24"/>
                <w:szCs w:val="24"/>
                <w:highlight w:val="none"/>
                <w:lang w:val="en-US" w:eastAsia="zh-CN" w:bidi="ar-SA"/>
              </w:rPr>
              <w:t>COD、SS、NH</w:t>
            </w:r>
            <w:r>
              <w:rPr>
                <w:rFonts w:hint="default" w:ascii="Times New Roman" w:hAnsi="Times New Roman" w:eastAsia="宋体" w:cs="Times New Roman"/>
                <w:color w:val="auto"/>
                <w:kern w:val="2"/>
                <w:sz w:val="24"/>
                <w:szCs w:val="24"/>
                <w:highlight w:val="none"/>
                <w:vertAlign w:val="sub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-N、TP、TN</w:t>
            </w:r>
          </w:p>
        </w:tc>
        <w:tc>
          <w:tcPr>
            <w:tcW w:w="1173" w:type="pct"/>
            <w:noWrap w:val="0"/>
            <w:vAlign w:val="center"/>
          </w:tcPr>
          <w:p w14:paraId="019C4288">
            <w:pPr>
              <w:adjustRightInd w:val="0"/>
              <w:snapToGrid w:val="0"/>
              <w:jc w:val="center"/>
              <w:rPr>
                <w:rFonts w:hint="default"/>
                <w:color w:val="auto"/>
                <w:kern w:val="2"/>
                <w:sz w:val="24"/>
                <w:szCs w:val="24"/>
                <w:lang w:val="en-US" w:eastAsia="zh-CN" w:bidi="ar-SA"/>
              </w:rPr>
            </w:pPr>
            <w:r>
              <w:rPr>
                <w:rFonts w:hint="eastAsia"/>
                <w:color w:val="auto"/>
                <w:kern w:val="2"/>
                <w:sz w:val="24"/>
                <w:szCs w:val="24"/>
                <w:lang w:val="en-US" w:eastAsia="zh-CN" w:bidi="ar-SA"/>
              </w:rPr>
              <w:t>经化粪池预处理后，定期清运不外排</w:t>
            </w:r>
          </w:p>
        </w:tc>
        <w:tc>
          <w:tcPr>
            <w:tcW w:w="1432" w:type="pct"/>
            <w:noWrap w:val="0"/>
            <w:vAlign w:val="center"/>
          </w:tcPr>
          <w:p w14:paraId="7A8BD42D">
            <w:pPr>
              <w:adjustRightInd w:val="0"/>
              <w:snapToGrid w:val="0"/>
              <w:jc w:val="center"/>
              <w:rPr>
                <w:rFonts w:hint="default" w:ascii="Times New Roman" w:hAnsi="Times New Roman" w:eastAsia="宋体" w:cs="Times New Roman"/>
                <w:color w:val="auto"/>
                <w:sz w:val="24"/>
                <w:lang w:val="en-US" w:eastAsia="zh-CN"/>
              </w:rPr>
            </w:pPr>
            <w:r>
              <w:rPr>
                <w:rFonts w:hint="eastAsia" w:cs="Times New Roman"/>
                <w:color w:val="auto"/>
                <w:sz w:val="24"/>
                <w:lang w:val="en-US" w:eastAsia="zh-CN"/>
              </w:rPr>
              <w:t>/</w:t>
            </w:r>
          </w:p>
        </w:tc>
      </w:tr>
      <w:tr w14:paraId="67352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noWrap w:val="0"/>
            <w:vAlign w:val="center"/>
          </w:tcPr>
          <w:p w14:paraId="6880024F">
            <w:pPr>
              <w:adjustRightInd w:val="0"/>
              <w:snapToGrid w:val="0"/>
              <w:jc w:val="center"/>
              <w:rPr>
                <w:color w:val="auto"/>
                <w:sz w:val="24"/>
              </w:rPr>
            </w:pPr>
            <w:r>
              <w:rPr>
                <w:rFonts w:hAnsi="宋体"/>
                <w:color w:val="auto"/>
                <w:sz w:val="24"/>
              </w:rPr>
              <w:t>声环境</w:t>
            </w:r>
          </w:p>
        </w:tc>
        <w:tc>
          <w:tcPr>
            <w:tcW w:w="949" w:type="pct"/>
            <w:noWrap w:val="0"/>
            <w:vAlign w:val="center"/>
          </w:tcPr>
          <w:p w14:paraId="14792A6F">
            <w:pPr>
              <w:adjustRightInd w:val="0"/>
              <w:snapToGrid w:val="0"/>
              <w:jc w:val="center"/>
              <w:rPr>
                <w:color w:val="auto"/>
                <w:sz w:val="24"/>
                <w:highlight w:val="none"/>
              </w:rPr>
            </w:pPr>
            <w:r>
              <w:rPr>
                <w:rFonts w:hint="eastAsia"/>
                <w:color w:val="auto"/>
                <w:sz w:val="24"/>
                <w:highlight w:val="none"/>
              </w:rPr>
              <w:t>生产设备</w:t>
            </w:r>
          </w:p>
        </w:tc>
        <w:tc>
          <w:tcPr>
            <w:tcW w:w="791" w:type="pct"/>
            <w:noWrap w:val="0"/>
            <w:vAlign w:val="center"/>
          </w:tcPr>
          <w:p w14:paraId="0962B8EC">
            <w:pPr>
              <w:adjustRightInd w:val="0"/>
              <w:snapToGrid w:val="0"/>
              <w:jc w:val="center"/>
              <w:rPr>
                <w:color w:val="auto"/>
                <w:sz w:val="24"/>
                <w:highlight w:val="none"/>
              </w:rPr>
            </w:pPr>
            <w:r>
              <w:rPr>
                <w:rFonts w:hint="eastAsia"/>
                <w:color w:val="auto"/>
                <w:sz w:val="24"/>
                <w:highlight w:val="none"/>
              </w:rPr>
              <w:t>噪声</w:t>
            </w:r>
          </w:p>
        </w:tc>
        <w:tc>
          <w:tcPr>
            <w:tcW w:w="1173" w:type="pct"/>
            <w:noWrap w:val="0"/>
            <w:vAlign w:val="center"/>
          </w:tcPr>
          <w:p w14:paraId="48DD38BA">
            <w:pPr>
              <w:adjustRightInd w:val="0"/>
              <w:snapToGrid w:val="0"/>
              <w:jc w:val="center"/>
              <w:rPr>
                <w:color w:val="auto"/>
                <w:sz w:val="24"/>
                <w:highlight w:val="none"/>
              </w:rPr>
            </w:pPr>
            <w:r>
              <w:rPr>
                <w:rFonts w:hint="eastAsia"/>
                <w:color w:val="auto"/>
                <w:sz w:val="24"/>
                <w:highlight w:val="none"/>
              </w:rPr>
              <w:t>基础减振、密闭隔音</w:t>
            </w:r>
            <w:r>
              <w:rPr>
                <w:color w:val="auto"/>
                <w:sz w:val="24"/>
                <w:highlight w:val="none"/>
              </w:rPr>
              <w:t>等降噪措施</w:t>
            </w:r>
          </w:p>
        </w:tc>
        <w:tc>
          <w:tcPr>
            <w:tcW w:w="1432" w:type="pct"/>
            <w:noWrap w:val="0"/>
            <w:vAlign w:val="center"/>
          </w:tcPr>
          <w:p w14:paraId="21D38156">
            <w:pPr>
              <w:adjustRightInd w:val="0"/>
              <w:snapToGrid w:val="0"/>
              <w:jc w:val="center"/>
              <w:rPr>
                <w:rFonts w:hint="eastAsia"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rPr>
              <w:t>《工业企业厂界环境噪声排放标准》（GB12348-2008）</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类</w:t>
            </w:r>
            <w:r>
              <w:rPr>
                <w:rFonts w:hint="eastAsia" w:ascii="Times New Roman" w:hAnsi="Times New Roman" w:eastAsia="宋体" w:cs="Times New Roman"/>
                <w:color w:val="auto"/>
                <w:sz w:val="24"/>
                <w:szCs w:val="24"/>
                <w:highlight w:val="none"/>
                <w:lang w:eastAsia="zh-CN"/>
              </w:rPr>
              <w:t>。</w:t>
            </w:r>
          </w:p>
        </w:tc>
      </w:tr>
      <w:tr w14:paraId="7DA962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noWrap w:val="0"/>
            <w:vAlign w:val="center"/>
          </w:tcPr>
          <w:p w14:paraId="41843974">
            <w:pPr>
              <w:adjustRightInd w:val="0"/>
              <w:snapToGrid w:val="0"/>
              <w:jc w:val="center"/>
              <w:rPr>
                <w:color w:val="auto"/>
                <w:sz w:val="24"/>
              </w:rPr>
            </w:pPr>
            <w:r>
              <w:rPr>
                <w:rFonts w:hAnsi="宋体"/>
                <w:color w:val="auto"/>
                <w:sz w:val="24"/>
              </w:rPr>
              <w:t>电磁辐射</w:t>
            </w:r>
          </w:p>
        </w:tc>
        <w:tc>
          <w:tcPr>
            <w:tcW w:w="949" w:type="pct"/>
            <w:noWrap w:val="0"/>
            <w:vAlign w:val="center"/>
          </w:tcPr>
          <w:p w14:paraId="33D9F344">
            <w:pPr>
              <w:adjustRightInd w:val="0"/>
              <w:snapToGrid w:val="0"/>
              <w:jc w:val="center"/>
              <w:rPr>
                <w:color w:val="auto"/>
                <w:sz w:val="24"/>
              </w:rPr>
            </w:pPr>
            <w:r>
              <w:rPr>
                <w:rFonts w:hint="eastAsia"/>
                <w:color w:val="auto"/>
                <w:sz w:val="24"/>
              </w:rPr>
              <w:t>/</w:t>
            </w:r>
          </w:p>
        </w:tc>
        <w:tc>
          <w:tcPr>
            <w:tcW w:w="791" w:type="pct"/>
            <w:noWrap w:val="0"/>
            <w:vAlign w:val="center"/>
          </w:tcPr>
          <w:p w14:paraId="73FF2EDF">
            <w:pPr>
              <w:adjustRightInd w:val="0"/>
              <w:snapToGrid w:val="0"/>
              <w:jc w:val="center"/>
              <w:rPr>
                <w:color w:val="auto"/>
                <w:sz w:val="24"/>
              </w:rPr>
            </w:pPr>
            <w:r>
              <w:rPr>
                <w:rFonts w:hint="eastAsia"/>
                <w:color w:val="auto"/>
                <w:sz w:val="24"/>
              </w:rPr>
              <w:t>/</w:t>
            </w:r>
          </w:p>
        </w:tc>
        <w:tc>
          <w:tcPr>
            <w:tcW w:w="1173" w:type="pct"/>
            <w:noWrap w:val="0"/>
            <w:vAlign w:val="center"/>
          </w:tcPr>
          <w:p w14:paraId="6B7E103C">
            <w:pPr>
              <w:adjustRightInd w:val="0"/>
              <w:snapToGrid w:val="0"/>
              <w:jc w:val="center"/>
              <w:rPr>
                <w:color w:val="auto"/>
                <w:sz w:val="24"/>
              </w:rPr>
            </w:pPr>
            <w:r>
              <w:rPr>
                <w:rFonts w:hint="eastAsia"/>
                <w:color w:val="auto"/>
                <w:sz w:val="24"/>
              </w:rPr>
              <w:t>/</w:t>
            </w:r>
          </w:p>
        </w:tc>
        <w:tc>
          <w:tcPr>
            <w:tcW w:w="1432" w:type="pct"/>
            <w:noWrap w:val="0"/>
            <w:vAlign w:val="center"/>
          </w:tcPr>
          <w:p w14:paraId="43EC8100">
            <w:pPr>
              <w:adjustRightInd w:val="0"/>
              <w:snapToGrid w:val="0"/>
              <w:jc w:val="center"/>
              <w:rPr>
                <w:color w:val="auto"/>
                <w:sz w:val="24"/>
              </w:rPr>
            </w:pPr>
            <w:r>
              <w:rPr>
                <w:rFonts w:hint="eastAsia"/>
                <w:color w:val="auto"/>
                <w:sz w:val="24"/>
              </w:rPr>
              <w:t>/</w:t>
            </w:r>
          </w:p>
        </w:tc>
      </w:tr>
      <w:tr w14:paraId="2C9CF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3" w:type="pct"/>
            <w:noWrap w:val="0"/>
            <w:vAlign w:val="center"/>
          </w:tcPr>
          <w:p w14:paraId="38ADC007">
            <w:pPr>
              <w:adjustRightInd w:val="0"/>
              <w:snapToGrid w:val="0"/>
              <w:jc w:val="center"/>
              <w:rPr>
                <w:color w:val="auto"/>
                <w:sz w:val="24"/>
              </w:rPr>
            </w:pPr>
            <w:r>
              <w:rPr>
                <w:rFonts w:hAnsi="宋体"/>
                <w:color w:val="auto"/>
                <w:sz w:val="24"/>
              </w:rPr>
              <w:t>固体废物</w:t>
            </w:r>
          </w:p>
        </w:tc>
        <w:tc>
          <w:tcPr>
            <w:tcW w:w="4346" w:type="pct"/>
            <w:gridSpan w:val="4"/>
            <w:noWrap w:val="0"/>
            <w:vAlign w:val="center"/>
          </w:tcPr>
          <w:p w14:paraId="571503DF">
            <w:pPr>
              <w:adjustRightInd w:val="0"/>
              <w:snapToGrid w:val="0"/>
              <w:spacing w:line="400" w:lineRule="exact"/>
              <w:ind w:firstLine="480" w:firstLineChars="200"/>
              <w:rPr>
                <w:rFonts w:hint="default" w:eastAsia="宋体"/>
                <w:color w:val="auto"/>
                <w:sz w:val="24"/>
                <w:highlight w:val="none"/>
                <w:lang w:val="en-US" w:eastAsia="zh-CN"/>
              </w:rPr>
            </w:pPr>
            <w:r>
              <w:rPr>
                <w:rFonts w:hint="eastAsia"/>
                <w:color w:val="auto"/>
                <w:sz w:val="24"/>
                <w:highlight w:val="none"/>
                <w:lang w:val="en-US" w:eastAsia="zh-CN"/>
              </w:rPr>
              <w:t>废包装材料及不合格电池均</w:t>
            </w:r>
            <w:r>
              <w:rPr>
                <w:rFonts w:hint="eastAsia"/>
                <w:color w:val="auto"/>
                <w:sz w:val="24"/>
                <w:highlight w:val="none"/>
              </w:rPr>
              <w:t>属于一般固废，</w:t>
            </w:r>
            <w:r>
              <w:rPr>
                <w:rFonts w:hint="eastAsia"/>
                <w:color w:val="auto"/>
                <w:sz w:val="24"/>
                <w:highlight w:val="none"/>
                <w:lang w:val="en-US" w:eastAsia="zh-CN"/>
              </w:rPr>
              <w:t>收集后作为暂存于一般固废间，定期外售。</w:t>
            </w:r>
            <w:r>
              <w:rPr>
                <w:rFonts w:hint="eastAsia"/>
                <w:color w:val="auto"/>
                <w:sz w:val="24"/>
              </w:rPr>
              <w:t>本项目建成后</w:t>
            </w:r>
            <w:r>
              <w:rPr>
                <w:rFonts w:hint="eastAsia"/>
                <w:color w:val="auto"/>
                <w:sz w:val="24"/>
                <w:lang w:val="en-US" w:eastAsia="zh-CN"/>
              </w:rPr>
              <w:t>将</w:t>
            </w:r>
            <w:r>
              <w:rPr>
                <w:rFonts w:hint="eastAsia"/>
                <w:color w:val="auto"/>
                <w:sz w:val="24"/>
              </w:rPr>
              <w:t>建设</w:t>
            </w:r>
            <w:r>
              <w:rPr>
                <w:color w:val="auto"/>
                <w:sz w:val="24"/>
              </w:rPr>
              <w:t>1座一般固废暂存间</w:t>
            </w:r>
            <w:r>
              <w:rPr>
                <w:rFonts w:hint="eastAsia"/>
                <w:color w:val="auto"/>
                <w:sz w:val="24"/>
                <w:lang w:eastAsia="zh-CN"/>
              </w:rPr>
              <w:t>（</w:t>
            </w:r>
            <w:r>
              <w:rPr>
                <w:rFonts w:hint="eastAsia"/>
                <w:color w:val="auto"/>
                <w:sz w:val="24"/>
                <w:lang w:val="en-US" w:eastAsia="zh-CN"/>
              </w:rPr>
              <w:t>建筑面积5m</w:t>
            </w:r>
            <w:r>
              <w:rPr>
                <w:rFonts w:hint="eastAsia"/>
                <w:color w:val="auto"/>
                <w:sz w:val="24"/>
                <w:vertAlign w:val="superscript"/>
                <w:lang w:val="en-US" w:eastAsia="zh-CN"/>
              </w:rPr>
              <w:t>2</w:t>
            </w:r>
            <w:r>
              <w:rPr>
                <w:rFonts w:hint="eastAsia"/>
                <w:color w:val="auto"/>
                <w:sz w:val="24"/>
                <w:lang w:eastAsia="zh-CN"/>
              </w:rPr>
              <w:t>）。</w:t>
            </w:r>
            <w:r>
              <w:rPr>
                <w:rFonts w:hint="eastAsia"/>
                <w:color w:val="auto"/>
                <w:sz w:val="24"/>
              </w:rPr>
              <w:t>一般固废暂存间满</w:t>
            </w:r>
            <w:r>
              <w:rPr>
                <w:rFonts w:hint="eastAsia"/>
                <w:color w:val="auto"/>
                <w:sz w:val="24"/>
                <w:highlight w:val="none"/>
              </w:rPr>
              <w:t>足</w:t>
            </w:r>
            <w:r>
              <w:rPr>
                <w:color w:val="auto"/>
                <w:sz w:val="24"/>
                <w:highlight w:val="none"/>
              </w:rPr>
              <w:t>《</w:t>
            </w:r>
            <w:r>
              <w:rPr>
                <w:rFonts w:hint="eastAsia"/>
                <w:color w:val="auto"/>
                <w:sz w:val="24"/>
                <w:highlight w:val="none"/>
              </w:rPr>
              <w:t>一般工业固体废物贮存和填埋污染控制标准</w:t>
            </w:r>
            <w:r>
              <w:rPr>
                <w:color w:val="auto"/>
                <w:sz w:val="24"/>
                <w:highlight w:val="none"/>
              </w:rPr>
              <w:t>》（GB18599-20</w:t>
            </w:r>
            <w:r>
              <w:rPr>
                <w:rFonts w:hint="eastAsia"/>
                <w:color w:val="auto"/>
                <w:sz w:val="24"/>
                <w:highlight w:val="none"/>
              </w:rPr>
              <w:t>20</w:t>
            </w:r>
            <w:r>
              <w:rPr>
                <w:color w:val="auto"/>
                <w:sz w:val="24"/>
                <w:highlight w:val="none"/>
              </w:rPr>
              <w:t>）</w:t>
            </w:r>
            <w:r>
              <w:rPr>
                <w:rFonts w:hint="eastAsia"/>
                <w:color w:val="auto"/>
                <w:sz w:val="24"/>
                <w:highlight w:val="none"/>
              </w:rPr>
              <w:t>的要求，做到防风、防雨、防晒，同时建设单位应做好防漏措施，并在明显位</w:t>
            </w:r>
            <w:r>
              <w:rPr>
                <w:rFonts w:hint="eastAsia"/>
                <w:color w:val="auto"/>
                <w:sz w:val="24"/>
              </w:rPr>
              <w:t>置悬挂废物标识。</w:t>
            </w:r>
          </w:p>
        </w:tc>
      </w:tr>
      <w:tr w14:paraId="57947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53" w:type="pct"/>
            <w:noWrap w:val="0"/>
            <w:vAlign w:val="center"/>
          </w:tcPr>
          <w:p w14:paraId="702F1D95">
            <w:pPr>
              <w:adjustRightInd w:val="0"/>
              <w:snapToGrid w:val="0"/>
              <w:jc w:val="center"/>
              <w:rPr>
                <w:color w:val="auto"/>
                <w:sz w:val="24"/>
              </w:rPr>
            </w:pPr>
            <w:r>
              <w:rPr>
                <w:color w:val="auto"/>
                <w:sz w:val="24"/>
              </w:rPr>
              <w:t>土壤及地下水污染防治措施</w:t>
            </w:r>
          </w:p>
        </w:tc>
        <w:tc>
          <w:tcPr>
            <w:tcW w:w="4346" w:type="pct"/>
            <w:gridSpan w:val="4"/>
            <w:noWrap w:val="0"/>
            <w:vAlign w:val="center"/>
          </w:tcPr>
          <w:p w14:paraId="66F3B78F">
            <w:pPr>
              <w:adjustRightInd w:val="0"/>
              <w:snapToGrid w:val="0"/>
              <w:spacing w:line="360" w:lineRule="exact"/>
              <w:jc w:val="center"/>
              <w:rPr>
                <w:color w:val="auto"/>
                <w:sz w:val="24"/>
              </w:rPr>
            </w:pPr>
            <w:r>
              <w:rPr>
                <w:rFonts w:hint="eastAsia"/>
                <w:color w:val="auto"/>
                <w:sz w:val="24"/>
              </w:rPr>
              <w:t>/</w:t>
            </w:r>
          </w:p>
        </w:tc>
      </w:tr>
      <w:tr w14:paraId="380416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53" w:type="pct"/>
            <w:noWrap w:val="0"/>
            <w:vAlign w:val="center"/>
          </w:tcPr>
          <w:p w14:paraId="6943AA43">
            <w:pPr>
              <w:adjustRightInd w:val="0"/>
              <w:snapToGrid w:val="0"/>
              <w:jc w:val="center"/>
              <w:rPr>
                <w:color w:val="auto"/>
                <w:sz w:val="24"/>
              </w:rPr>
            </w:pPr>
            <w:r>
              <w:rPr>
                <w:rFonts w:hAnsi="宋体"/>
                <w:color w:val="auto"/>
                <w:sz w:val="24"/>
              </w:rPr>
              <w:t>生态保护措施</w:t>
            </w:r>
          </w:p>
        </w:tc>
        <w:tc>
          <w:tcPr>
            <w:tcW w:w="4346" w:type="pct"/>
            <w:gridSpan w:val="4"/>
            <w:noWrap w:val="0"/>
            <w:vAlign w:val="center"/>
          </w:tcPr>
          <w:p w14:paraId="30059BE2">
            <w:pPr>
              <w:adjustRightInd w:val="0"/>
              <w:snapToGrid w:val="0"/>
              <w:jc w:val="center"/>
              <w:rPr>
                <w:rFonts w:hint="eastAsia"/>
                <w:color w:val="auto"/>
                <w:sz w:val="24"/>
              </w:rPr>
            </w:pPr>
            <w:r>
              <w:rPr>
                <w:rFonts w:hint="eastAsia"/>
                <w:color w:val="auto"/>
                <w:sz w:val="24"/>
              </w:rPr>
              <w:t>/</w:t>
            </w:r>
          </w:p>
        </w:tc>
      </w:tr>
      <w:tr w14:paraId="320C8F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53" w:type="pct"/>
            <w:noWrap w:val="0"/>
            <w:vAlign w:val="center"/>
          </w:tcPr>
          <w:p w14:paraId="569B3F96">
            <w:pPr>
              <w:adjustRightInd w:val="0"/>
              <w:snapToGrid w:val="0"/>
              <w:jc w:val="center"/>
              <w:rPr>
                <w:color w:val="auto"/>
                <w:spacing w:val="-8"/>
                <w:sz w:val="24"/>
              </w:rPr>
            </w:pPr>
            <w:r>
              <w:rPr>
                <w:rFonts w:hAnsi="宋体"/>
                <w:color w:val="auto"/>
                <w:spacing w:val="-8"/>
                <w:sz w:val="24"/>
              </w:rPr>
              <w:t>环境风险</w:t>
            </w:r>
          </w:p>
          <w:p w14:paraId="34126579">
            <w:pPr>
              <w:adjustRightInd w:val="0"/>
              <w:snapToGrid w:val="0"/>
              <w:jc w:val="center"/>
              <w:rPr>
                <w:color w:val="auto"/>
                <w:spacing w:val="-8"/>
                <w:sz w:val="24"/>
              </w:rPr>
            </w:pPr>
            <w:r>
              <w:rPr>
                <w:rFonts w:hAnsi="宋体"/>
                <w:color w:val="auto"/>
                <w:spacing w:val="-8"/>
                <w:sz w:val="24"/>
              </w:rPr>
              <w:t>防范措施</w:t>
            </w:r>
          </w:p>
        </w:tc>
        <w:tc>
          <w:tcPr>
            <w:tcW w:w="4346" w:type="pct"/>
            <w:gridSpan w:val="4"/>
            <w:noWrap w:val="0"/>
            <w:vAlign w:val="center"/>
          </w:tcPr>
          <w:p w14:paraId="2A0C1FED">
            <w:pPr>
              <w:adjustRightInd w:val="0"/>
              <w:snapToGrid w:val="0"/>
              <w:spacing w:line="440" w:lineRule="exact"/>
              <w:ind w:firstLine="480" w:firstLineChars="200"/>
              <w:jc w:val="center"/>
              <w:rPr>
                <w:rFonts w:hint="eastAsia" w:eastAsia="宋体"/>
                <w:color w:val="auto"/>
                <w:sz w:val="24"/>
                <w:lang w:val="en-US" w:eastAsia="zh-CN"/>
              </w:rPr>
            </w:pPr>
            <w:r>
              <w:rPr>
                <w:rFonts w:hint="eastAsia"/>
                <w:color w:val="auto"/>
                <w:sz w:val="24"/>
                <w:lang w:val="en-US" w:eastAsia="zh-CN"/>
              </w:rPr>
              <w:t>/</w:t>
            </w:r>
          </w:p>
        </w:tc>
      </w:tr>
      <w:tr w14:paraId="336A5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53" w:type="pct"/>
            <w:noWrap w:val="0"/>
            <w:vAlign w:val="center"/>
          </w:tcPr>
          <w:p w14:paraId="7F4C2D7D">
            <w:pPr>
              <w:adjustRightInd w:val="0"/>
              <w:snapToGrid w:val="0"/>
              <w:jc w:val="center"/>
              <w:rPr>
                <w:color w:val="auto"/>
                <w:spacing w:val="-8"/>
                <w:sz w:val="24"/>
              </w:rPr>
            </w:pPr>
            <w:r>
              <w:rPr>
                <w:rFonts w:hAnsi="宋体"/>
                <w:color w:val="auto"/>
                <w:spacing w:val="-8"/>
                <w:sz w:val="24"/>
              </w:rPr>
              <w:t>其他环境</w:t>
            </w:r>
          </w:p>
          <w:p w14:paraId="3CC5E83F">
            <w:pPr>
              <w:adjustRightInd w:val="0"/>
              <w:snapToGrid w:val="0"/>
              <w:jc w:val="center"/>
              <w:rPr>
                <w:color w:val="auto"/>
                <w:spacing w:val="-8"/>
                <w:sz w:val="24"/>
              </w:rPr>
            </w:pPr>
            <w:r>
              <w:rPr>
                <w:rFonts w:hAnsi="宋体"/>
                <w:color w:val="auto"/>
                <w:spacing w:val="-8"/>
                <w:sz w:val="24"/>
              </w:rPr>
              <w:t>管理要求</w:t>
            </w:r>
          </w:p>
        </w:tc>
        <w:tc>
          <w:tcPr>
            <w:tcW w:w="4346" w:type="pct"/>
            <w:gridSpan w:val="4"/>
            <w:noWrap w:val="0"/>
            <w:vAlign w:val="center"/>
          </w:tcPr>
          <w:p w14:paraId="4E9331FF">
            <w:pPr>
              <w:adjustRightInd w:val="0"/>
              <w:snapToGrid w:val="0"/>
              <w:spacing w:line="360" w:lineRule="exact"/>
              <w:jc w:val="both"/>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1、排污许可证管理要求</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根据《固定污染源排污许可分类管理名录（2019年版）》（生态环境部第11号）要求进行填报排污许可。因此，建设单位应当在启动生产设施或者发生实际排污之前在全国排污许可证管理信息平台进行排污许可申请。</w:t>
            </w:r>
          </w:p>
          <w:p w14:paraId="4BC4EE20">
            <w:pPr>
              <w:adjustRightInd w:val="0"/>
              <w:snapToGrid w:val="0"/>
              <w:spacing w:line="360" w:lineRule="exact"/>
              <w:jc w:val="both"/>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2、竣工环境保护验收</w:t>
            </w:r>
            <w:r>
              <w:rPr>
                <w:rFonts w:hint="eastAsia"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lang w:val="en-US" w:eastAsia="zh-CN"/>
              </w:rPr>
              <w:t>根据《建设项目竣工环境保护验收暂行办法》的规定，建设项目竣工后，建设单位应当如实查验、监测、记载建设项目环境保护设施的建设和调试情况，编制验收监测报告表。</w:t>
            </w:r>
          </w:p>
          <w:p w14:paraId="2F1BAF46">
            <w:pPr>
              <w:adjustRightInd w:val="0"/>
              <w:snapToGrid w:val="0"/>
              <w:jc w:val="center"/>
              <w:rPr>
                <w:rFonts w:hint="eastAsia" w:ascii="Times New Roman" w:hAnsi="宋体" w:eastAsia="宋体" w:cs="Times New Roman"/>
                <w:color w:val="auto"/>
                <w:spacing w:val="-8"/>
                <w:sz w:val="24"/>
              </w:rPr>
            </w:pPr>
          </w:p>
          <w:p w14:paraId="43EC0BD0">
            <w:pPr>
              <w:adjustRightInd w:val="0"/>
              <w:snapToGrid w:val="0"/>
              <w:jc w:val="center"/>
              <w:rPr>
                <w:rFonts w:hint="eastAsia" w:ascii="Times New Roman" w:hAnsi="宋体" w:eastAsia="宋体" w:cs="Times New Roman"/>
                <w:color w:val="auto"/>
                <w:spacing w:val="-8"/>
                <w:sz w:val="24"/>
              </w:rPr>
            </w:pPr>
          </w:p>
          <w:p w14:paraId="2D54215D">
            <w:pPr>
              <w:pStyle w:val="10"/>
              <w:rPr>
                <w:rFonts w:hint="eastAsia" w:ascii="Times New Roman" w:hAnsi="宋体" w:eastAsia="宋体" w:cs="Times New Roman"/>
                <w:color w:val="auto"/>
                <w:spacing w:val="-8"/>
                <w:sz w:val="24"/>
              </w:rPr>
            </w:pPr>
          </w:p>
          <w:p w14:paraId="5F1F96AD">
            <w:pPr>
              <w:pStyle w:val="10"/>
              <w:ind w:left="0" w:leftChars="0" w:firstLine="0" w:firstLineChars="0"/>
              <w:rPr>
                <w:rFonts w:hint="eastAsia" w:ascii="Times New Roman" w:hAnsi="宋体" w:eastAsia="宋体" w:cs="Times New Roman"/>
                <w:color w:val="auto"/>
                <w:spacing w:val="-8"/>
                <w:sz w:val="24"/>
              </w:rPr>
            </w:pPr>
          </w:p>
          <w:p w14:paraId="3019682D">
            <w:pPr>
              <w:adjustRightInd w:val="0"/>
              <w:snapToGrid w:val="0"/>
              <w:rPr>
                <w:color w:val="auto"/>
                <w:sz w:val="24"/>
              </w:rPr>
            </w:pPr>
          </w:p>
        </w:tc>
      </w:tr>
    </w:tbl>
    <w:p w14:paraId="53D5E53C">
      <w:pPr>
        <w:rPr>
          <w:rFonts w:ascii="宋体"/>
          <w:color w:val="auto"/>
        </w:rPr>
        <w:sectPr>
          <w:pgSz w:w="11906" w:h="16838"/>
          <w:pgMar w:top="1701" w:right="1531" w:bottom="1701" w:left="1531" w:header="851" w:footer="851" w:gutter="0"/>
          <w:pgBorders w:offsetFrom="page">
            <w:top w:val="none" w:sz="0" w:space="0"/>
            <w:left w:val="none" w:sz="0" w:space="0"/>
            <w:bottom w:val="none" w:sz="0" w:space="0"/>
            <w:right w:val="none" w:sz="0" w:space="0"/>
          </w:pgBorders>
          <w:pgNumType w:fmt="decimal"/>
          <w:cols w:space="720" w:num="1"/>
          <w:docGrid w:linePitch="312" w:charSpace="0"/>
        </w:sectPr>
      </w:pPr>
      <w:r>
        <w:rPr>
          <w:snapToGrid w:val="0"/>
          <w:color w:val="auto"/>
        </w:rPr>
        <w:drawing>
          <wp:anchor distT="0" distB="0" distL="114300" distR="114300" simplePos="0" relativeHeight="251662336" behindDoc="1" locked="0" layoutInCell="1" allowOverlap="1">
            <wp:simplePos x="0" y="0"/>
            <wp:positionH relativeFrom="column">
              <wp:posOffset>-64770</wp:posOffset>
            </wp:positionH>
            <wp:positionV relativeFrom="paragraph">
              <wp:posOffset>528320</wp:posOffset>
            </wp:positionV>
            <wp:extent cx="5767070" cy="8107680"/>
            <wp:effectExtent l="0" t="0" r="5080" b="7620"/>
            <wp:wrapNone/>
            <wp:docPr id="44" name="图片 44" descr="6d058d2c2bd922b0f831d444c70f52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6d058d2c2bd922b0f831d444c70f52bf"/>
                    <pic:cNvPicPr>
                      <a:picLocks noChangeAspect="1"/>
                    </pic:cNvPicPr>
                  </pic:nvPicPr>
                  <pic:blipFill>
                    <a:blip r:embed="rId12"/>
                    <a:srcRect l="4540" t="10775" r="9252" b="9795"/>
                    <a:stretch>
                      <a:fillRect/>
                    </a:stretch>
                  </pic:blipFill>
                  <pic:spPr>
                    <a:xfrm>
                      <a:off x="0" y="0"/>
                      <a:ext cx="5767070" cy="8107680"/>
                    </a:xfrm>
                    <a:prstGeom prst="rect">
                      <a:avLst/>
                    </a:prstGeom>
                  </pic:spPr>
                </pic:pic>
              </a:graphicData>
            </a:graphic>
          </wp:anchor>
        </w:drawing>
      </w:r>
      <w:r>
        <w:rPr>
          <w:snapToGrid w:val="0"/>
          <w:color w:val="auto"/>
        </w:rPr>
        <w:br w:type="page"/>
      </w:r>
    </w:p>
    <w:p w14:paraId="7BDB0B42">
      <w:pPr>
        <w:pStyle w:val="16"/>
        <w:jc w:val="center"/>
        <w:outlineLvl w:val="0"/>
        <w:rPr>
          <w:rFonts w:hint="eastAsia" w:ascii="黑体" w:hAnsi="黑体" w:eastAsia="黑体"/>
          <w:snapToGrid w:val="0"/>
          <w:color w:val="auto"/>
          <w:sz w:val="30"/>
          <w:szCs w:val="30"/>
          <w:highlight w:val="none"/>
          <w:lang w:eastAsia="zh-CN"/>
        </w:rPr>
      </w:pPr>
      <w:r>
        <w:rPr>
          <w:rFonts w:hint="eastAsia" w:ascii="黑体" w:hAnsi="黑体" w:eastAsia="黑体"/>
          <w:snapToGrid w:val="0"/>
          <w:color w:val="auto"/>
          <w:sz w:val="30"/>
          <w:szCs w:val="30"/>
          <w:highlight w:val="none"/>
        </w:rPr>
        <w:t>建设项目污染物排放量汇总表</w:t>
      </w:r>
    </w:p>
    <w:p w14:paraId="2D17EBF4">
      <w:pPr>
        <w:pStyle w:val="12"/>
        <w:keepNext w:val="0"/>
        <w:keepLines w:val="0"/>
        <w:pageBreakBefore w:val="0"/>
        <w:widowControl w:val="0"/>
        <w:kinsoku/>
        <w:wordWrap/>
        <w:overflowPunct/>
        <w:topLinePunct w:val="0"/>
        <w:autoSpaceDE/>
        <w:autoSpaceDN/>
        <w:bidi w:val="0"/>
        <w:adjustRightInd/>
        <w:snapToGrid/>
        <w:spacing w:after="0" w:line="240" w:lineRule="auto"/>
        <w:jc w:val="right"/>
        <w:textAlignment w:val="auto"/>
        <w:rPr>
          <w:color w:val="auto"/>
          <w:lang w:eastAsia="zh-CN"/>
        </w:rPr>
      </w:pPr>
      <w:r>
        <w:rPr>
          <w:color w:val="auto"/>
          <w:lang w:eastAsia="zh-CN"/>
        </w:rPr>
        <w:t>单位：t/a</w:t>
      </w:r>
    </w:p>
    <w:tbl>
      <w:tblPr>
        <w:tblStyle w:val="17"/>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843"/>
        <w:gridCol w:w="1701"/>
        <w:gridCol w:w="1276"/>
        <w:gridCol w:w="1701"/>
        <w:gridCol w:w="1559"/>
        <w:gridCol w:w="1761"/>
        <w:gridCol w:w="1641"/>
        <w:gridCol w:w="1144"/>
      </w:tblGrid>
      <w:tr w14:paraId="30145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2" w:type="dxa"/>
            <w:tcBorders>
              <w:tl2br w:val="single" w:color="auto" w:sz="4" w:space="0"/>
            </w:tcBorders>
            <w:noWrap w:val="0"/>
            <w:tcMar>
              <w:left w:w="28" w:type="dxa"/>
              <w:right w:w="28" w:type="dxa"/>
            </w:tcMar>
            <w:vAlign w:val="center"/>
          </w:tcPr>
          <w:p w14:paraId="36E8B83A">
            <w:pPr>
              <w:pStyle w:val="22"/>
              <w:spacing w:beforeLines="0" w:afterLines="0" w:line="240" w:lineRule="auto"/>
              <w:jc w:val="right"/>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项目</w:t>
            </w:r>
          </w:p>
          <w:p w14:paraId="569D9493">
            <w:pPr>
              <w:pStyle w:val="22"/>
              <w:spacing w:beforeLines="0" w:afterLines="0" w:line="240" w:lineRule="auto"/>
              <w:jc w:val="left"/>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分类</w:t>
            </w:r>
          </w:p>
        </w:tc>
        <w:tc>
          <w:tcPr>
            <w:tcW w:w="1843" w:type="dxa"/>
            <w:noWrap w:val="0"/>
            <w:tcMar>
              <w:left w:w="28" w:type="dxa"/>
              <w:right w:w="28" w:type="dxa"/>
            </w:tcMar>
            <w:vAlign w:val="center"/>
          </w:tcPr>
          <w:p w14:paraId="50E794A3">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污染物名称</w:t>
            </w:r>
          </w:p>
        </w:tc>
        <w:tc>
          <w:tcPr>
            <w:tcW w:w="1701" w:type="dxa"/>
            <w:noWrap w:val="0"/>
            <w:tcMar>
              <w:left w:w="28" w:type="dxa"/>
              <w:right w:w="28" w:type="dxa"/>
            </w:tcMar>
            <w:vAlign w:val="center"/>
          </w:tcPr>
          <w:p w14:paraId="192CBD79">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现有工程</w:t>
            </w:r>
          </w:p>
          <w:p w14:paraId="13376F0E">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排放量（固体废物产生量）</w:t>
            </w:r>
            <w:r>
              <w:rPr>
                <w:rFonts w:ascii="Times New Roman" w:eastAsia="黑体"/>
                <w:snapToGrid w:val="0"/>
                <w:color w:val="auto"/>
                <w:spacing w:val="-6"/>
                <w:kern w:val="21"/>
                <w:szCs w:val="21"/>
                <w:lang w:val="en-US" w:eastAsia="zh-CN"/>
              </w:rPr>
              <w:fldChar w:fldCharType="begin"/>
            </w:r>
            <w:r>
              <w:rPr>
                <w:rFonts w:ascii="Times New Roman" w:eastAsia="黑体"/>
                <w:snapToGrid w:val="0"/>
                <w:color w:val="auto"/>
                <w:spacing w:val="-6"/>
                <w:kern w:val="21"/>
                <w:szCs w:val="21"/>
                <w:lang w:val="en-US" w:eastAsia="zh-CN"/>
              </w:rPr>
              <w:instrText xml:space="preserve"> = 1 \* GB3 \* MERGEFORMAT </w:instrText>
            </w:r>
            <w:r>
              <w:rPr>
                <w:rFonts w:ascii="Times New Roman" w:eastAsia="黑体"/>
                <w:snapToGrid w:val="0"/>
                <w:color w:val="auto"/>
                <w:spacing w:val="-6"/>
                <w:kern w:val="21"/>
                <w:szCs w:val="21"/>
                <w:lang w:val="en-US" w:eastAsia="zh-CN"/>
              </w:rPr>
              <w:fldChar w:fldCharType="separate"/>
            </w:r>
            <w:r>
              <w:rPr>
                <w:rFonts w:ascii="黑体" w:hAnsi="黑体" w:eastAsia="黑体"/>
                <w:color w:val="auto"/>
                <w:kern w:val="2"/>
                <w:szCs w:val="21"/>
                <w:lang w:val="en-US" w:eastAsia="zh-CN"/>
              </w:rPr>
              <w:t>①</w:t>
            </w:r>
            <w:r>
              <w:rPr>
                <w:rFonts w:ascii="Times New Roman" w:eastAsia="黑体"/>
                <w:snapToGrid w:val="0"/>
                <w:color w:val="auto"/>
                <w:spacing w:val="-6"/>
                <w:kern w:val="21"/>
                <w:szCs w:val="21"/>
                <w:lang w:val="en-US" w:eastAsia="zh-CN"/>
              </w:rPr>
              <w:fldChar w:fldCharType="end"/>
            </w:r>
          </w:p>
        </w:tc>
        <w:tc>
          <w:tcPr>
            <w:tcW w:w="1276" w:type="dxa"/>
            <w:noWrap w:val="0"/>
            <w:tcMar>
              <w:left w:w="28" w:type="dxa"/>
              <w:right w:w="28" w:type="dxa"/>
            </w:tcMar>
            <w:vAlign w:val="center"/>
          </w:tcPr>
          <w:p w14:paraId="35FFA122">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现有工程</w:t>
            </w:r>
          </w:p>
          <w:p w14:paraId="647CE01D">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许可排放量</w:t>
            </w:r>
          </w:p>
          <w:p w14:paraId="4B54C36F">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eastAsia="黑体"/>
                <w:snapToGrid w:val="0"/>
                <w:color w:val="auto"/>
                <w:spacing w:val="-6"/>
                <w:kern w:val="21"/>
                <w:szCs w:val="21"/>
                <w:lang w:val="en-US" w:eastAsia="zh-CN"/>
              </w:rPr>
              <w:fldChar w:fldCharType="begin"/>
            </w:r>
            <w:r>
              <w:rPr>
                <w:rFonts w:ascii="Times New Roman" w:eastAsia="黑体"/>
                <w:snapToGrid w:val="0"/>
                <w:color w:val="auto"/>
                <w:spacing w:val="-6"/>
                <w:kern w:val="21"/>
                <w:szCs w:val="21"/>
                <w:lang w:val="en-US" w:eastAsia="zh-CN"/>
              </w:rPr>
              <w:instrText xml:space="preserve"> = 2 \* GB3 \* MERGEFORMAT </w:instrText>
            </w:r>
            <w:r>
              <w:rPr>
                <w:rFonts w:ascii="Times New Roman" w:eastAsia="黑体"/>
                <w:snapToGrid w:val="0"/>
                <w:color w:val="auto"/>
                <w:spacing w:val="-6"/>
                <w:kern w:val="21"/>
                <w:szCs w:val="21"/>
                <w:lang w:val="en-US" w:eastAsia="zh-CN"/>
              </w:rPr>
              <w:fldChar w:fldCharType="separate"/>
            </w:r>
            <w:r>
              <w:rPr>
                <w:rFonts w:ascii="黑体" w:hAnsi="黑体" w:eastAsia="黑体"/>
                <w:snapToGrid w:val="0"/>
                <w:color w:val="auto"/>
                <w:spacing w:val="-6"/>
                <w:kern w:val="21"/>
                <w:szCs w:val="21"/>
                <w:lang w:val="en-US" w:eastAsia="zh-CN"/>
              </w:rPr>
              <w:t>②</w:t>
            </w:r>
            <w:r>
              <w:rPr>
                <w:rFonts w:ascii="Times New Roman" w:eastAsia="黑体"/>
                <w:snapToGrid w:val="0"/>
                <w:color w:val="auto"/>
                <w:spacing w:val="-6"/>
                <w:kern w:val="21"/>
                <w:szCs w:val="21"/>
                <w:lang w:val="en-US" w:eastAsia="zh-CN"/>
              </w:rPr>
              <w:fldChar w:fldCharType="end"/>
            </w:r>
          </w:p>
        </w:tc>
        <w:tc>
          <w:tcPr>
            <w:tcW w:w="1701" w:type="dxa"/>
            <w:noWrap w:val="0"/>
            <w:tcMar>
              <w:left w:w="28" w:type="dxa"/>
              <w:right w:w="28" w:type="dxa"/>
            </w:tcMar>
            <w:vAlign w:val="center"/>
          </w:tcPr>
          <w:p w14:paraId="041C4ED2">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在建工程</w:t>
            </w:r>
          </w:p>
          <w:p w14:paraId="7CDAAB86">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排放量（固体废物产生量）</w:t>
            </w:r>
            <w:r>
              <w:rPr>
                <w:rFonts w:ascii="Times New Roman" w:eastAsia="黑体"/>
                <w:snapToGrid w:val="0"/>
                <w:color w:val="auto"/>
                <w:spacing w:val="-6"/>
                <w:kern w:val="21"/>
                <w:szCs w:val="21"/>
                <w:lang w:val="en-US" w:eastAsia="zh-CN"/>
              </w:rPr>
              <w:fldChar w:fldCharType="begin"/>
            </w:r>
            <w:r>
              <w:rPr>
                <w:rFonts w:ascii="Times New Roman" w:eastAsia="黑体"/>
                <w:snapToGrid w:val="0"/>
                <w:color w:val="auto"/>
                <w:spacing w:val="-6"/>
                <w:kern w:val="21"/>
                <w:szCs w:val="21"/>
                <w:lang w:val="en-US" w:eastAsia="zh-CN"/>
              </w:rPr>
              <w:instrText xml:space="preserve"> = 3 \* GB3 \* MERGEFORMAT </w:instrText>
            </w:r>
            <w:r>
              <w:rPr>
                <w:rFonts w:ascii="Times New Roman" w:eastAsia="黑体"/>
                <w:snapToGrid w:val="0"/>
                <w:color w:val="auto"/>
                <w:spacing w:val="-6"/>
                <w:kern w:val="21"/>
                <w:szCs w:val="21"/>
                <w:lang w:val="en-US" w:eastAsia="zh-CN"/>
              </w:rPr>
              <w:fldChar w:fldCharType="separate"/>
            </w:r>
            <w:r>
              <w:rPr>
                <w:rFonts w:ascii="黑体" w:hAnsi="黑体" w:eastAsia="黑体"/>
                <w:color w:val="auto"/>
                <w:kern w:val="2"/>
                <w:szCs w:val="21"/>
                <w:lang w:val="en-US" w:eastAsia="zh-CN"/>
              </w:rPr>
              <w:t>③</w:t>
            </w:r>
            <w:r>
              <w:rPr>
                <w:rFonts w:ascii="Times New Roman" w:eastAsia="黑体"/>
                <w:snapToGrid w:val="0"/>
                <w:color w:val="auto"/>
                <w:spacing w:val="-6"/>
                <w:kern w:val="21"/>
                <w:szCs w:val="21"/>
                <w:lang w:val="en-US" w:eastAsia="zh-CN"/>
              </w:rPr>
              <w:fldChar w:fldCharType="end"/>
            </w:r>
          </w:p>
        </w:tc>
        <w:tc>
          <w:tcPr>
            <w:tcW w:w="1559" w:type="dxa"/>
            <w:noWrap w:val="0"/>
            <w:tcMar>
              <w:left w:w="28" w:type="dxa"/>
              <w:right w:w="28" w:type="dxa"/>
            </w:tcMar>
            <w:vAlign w:val="center"/>
          </w:tcPr>
          <w:p w14:paraId="2FE4C698">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本项目</w:t>
            </w:r>
          </w:p>
          <w:p w14:paraId="3A6474C5">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排放量（固体废物产生量）</w:t>
            </w:r>
            <w:r>
              <w:rPr>
                <w:rFonts w:ascii="Times New Roman" w:eastAsia="黑体"/>
                <w:snapToGrid w:val="0"/>
                <w:color w:val="auto"/>
                <w:spacing w:val="-6"/>
                <w:kern w:val="21"/>
                <w:szCs w:val="21"/>
                <w:lang w:val="en-US" w:eastAsia="zh-CN"/>
              </w:rPr>
              <w:fldChar w:fldCharType="begin"/>
            </w:r>
            <w:r>
              <w:rPr>
                <w:rFonts w:ascii="Times New Roman" w:eastAsia="黑体"/>
                <w:snapToGrid w:val="0"/>
                <w:color w:val="auto"/>
                <w:spacing w:val="-6"/>
                <w:kern w:val="21"/>
                <w:szCs w:val="21"/>
                <w:lang w:val="en-US" w:eastAsia="zh-CN"/>
              </w:rPr>
              <w:instrText xml:space="preserve"> = 4 \* GB3 \* MERGEFORMAT </w:instrText>
            </w:r>
            <w:r>
              <w:rPr>
                <w:rFonts w:ascii="Times New Roman" w:eastAsia="黑体"/>
                <w:snapToGrid w:val="0"/>
                <w:color w:val="auto"/>
                <w:spacing w:val="-6"/>
                <w:kern w:val="21"/>
                <w:szCs w:val="21"/>
                <w:lang w:val="en-US" w:eastAsia="zh-CN"/>
              </w:rPr>
              <w:fldChar w:fldCharType="separate"/>
            </w:r>
            <w:r>
              <w:rPr>
                <w:rFonts w:ascii="黑体" w:hAnsi="黑体" w:eastAsia="黑体"/>
                <w:color w:val="auto"/>
                <w:kern w:val="2"/>
                <w:szCs w:val="21"/>
                <w:lang w:val="en-US" w:eastAsia="zh-CN"/>
              </w:rPr>
              <w:t>④</w:t>
            </w:r>
            <w:r>
              <w:rPr>
                <w:rFonts w:ascii="Times New Roman" w:eastAsia="黑体"/>
                <w:snapToGrid w:val="0"/>
                <w:color w:val="auto"/>
                <w:spacing w:val="-6"/>
                <w:kern w:val="21"/>
                <w:szCs w:val="21"/>
                <w:lang w:val="en-US" w:eastAsia="zh-CN"/>
              </w:rPr>
              <w:fldChar w:fldCharType="end"/>
            </w:r>
          </w:p>
        </w:tc>
        <w:tc>
          <w:tcPr>
            <w:tcW w:w="1761" w:type="dxa"/>
            <w:noWrap w:val="0"/>
            <w:tcMar>
              <w:left w:w="28" w:type="dxa"/>
              <w:right w:w="28" w:type="dxa"/>
            </w:tcMar>
            <w:vAlign w:val="center"/>
          </w:tcPr>
          <w:p w14:paraId="13D971F4">
            <w:pPr>
              <w:pStyle w:val="22"/>
              <w:spacing w:beforeLines="0" w:afterLines="0" w:line="240" w:lineRule="auto"/>
              <w:rPr>
                <w:rFonts w:ascii="Times New Roman" w:eastAsia="黑体"/>
                <w:snapToGrid w:val="0"/>
                <w:color w:val="auto"/>
                <w:spacing w:val="-16"/>
                <w:kern w:val="21"/>
                <w:szCs w:val="21"/>
                <w:lang w:val="en-US" w:eastAsia="zh-CN"/>
              </w:rPr>
            </w:pPr>
            <w:r>
              <w:rPr>
                <w:rFonts w:ascii="Times New Roman" w:hAnsi="黑体" w:eastAsia="黑体"/>
                <w:snapToGrid w:val="0"/>
                <w:color w:val="auto"/>
                <w:spacing w:val="-16"/>
                <w:kern w:val="21"/>
                <w:szCs w:val="21"/>
                <w:lang w:val="en-US" w:eastAsia="zh-CN"/>
              </w:rPr>
              <w:t>以新带老削减量</w:t>
            </w:r>
          </w:p>
          <w:p w14:paraId="24136E4A">
            <w:pPr>
              <w:pStyle w:val="22"/>
              <w:spacing w:beforeLines="0" w:afterLines="0" w:line="240" w:lineRule="auto"/>
              <w:rPr>
                <w:rFonts w:ascii="Times New Roman" w:eastAsia="黑体"/>
                <w:snapToGrid w:val="0"/>
                <w:color w:val="auto"/>
                <w:spacing w:val="-16"/>
                <w:kern w:val="21"/>
                <w:szCs w:val="21"/>
                <w:lang w:val="en-US" w:eastAsia="zh-CN"/>
              </w:rPr>
            </w:pPr>
            <w:r>
              <w:rPr>
                <w:rFonts w:ascii="Times New Roman" w:hAnsi="黑体" w:eastAsia="黑体"/>
                <w:snapToGrid w:val="0"/>
                <w:color w:val="auto"/>
                <w:spacing w:val="-16"/>
                <w:kern w:val="21"/>
                <w:szCs w:val="21"/>
                <w:lang w:val="en-US" w:eastAsia="zh-CN"/>
              </w:rPr>
              <w:t>（新建项目不填）</w:t>
            </w:r>
            <w:r>
              <w:rPr>
                <w:rFonts w:ascii="Times New Roman" w:eastAsia="黑体"/>
                <w:snapToGrid w:val="0"/>
                <w:color w:val="auto"/>
                <w:spacing w:val="-16"/>
                <w:kern w:val="21"/>
                <w:szCs w:val="21"/>
                <w:lang w:val="en-US" w:eastAsia="zh-CN"/>
              </w:rPr>
              <w:fldChar w:fldCharType="begin"/>
            </w:r>
            <w:r>
              <w:rPr>
                <w:rFonts w:ascii="Times New Roman" w:eastAsia="黑体"/>
                <w:snapToGrid w:val="0"/>
                <w:color w:val="auto"/>
                <w:spacing w:val="-16"/>
                <w:kern w:val="21"/>
                <w:szCs w:val="21"/>
                <w:lang w:val="en-US" w:eastAsia="zh-CN"/>
              </w:rPr>
              <w:instrText xml:space="preserve"> = 5 \* GB3 \* MERGEFORMAT </w:instrText>
            </w:r>
            <w:r>
              <w:rPr>
                <w:rFonts w:ascii="Times New Roman" w:eastAsia="黑体"/>
                <w:snapToGrid w:val="0"/>
                <w:color w:val="auto"/>
                <w:spacing w:val="-16"/>
                <w:kern w:val="21"/>
                <w:szCs w:val="21"/>
                <w:lang w:val="en-US" w:eastAsia="zh-CN"/>
              </w:rPr>
              <w:fldChar w:fldCharType="separate"/>
            </w:r>
            <w:r>
              <w:rPr>
                <w:rFonts w:ascii="黑体" w:hAnsi="黑体" w:eastAsia="黑体"/>
                <w:color w:val="auto"/>
                <w:kern w:val="2"/>
                <w:szCs w:val="21"/>
                <w:lang w:val="en-US" w:eastAsia="zh-CN"/>
              </w:rPr>
              <w:t>⑤</w:t>
            </w:r>
            <w:r>
              <w:rPr>
                <w:rFonts w:ascii="Times New Roman" w:eastAsia="黑体"/>
                <w:snapToGrid w:val="0"/>
                <w:color w:val="auto"/>
                <w:spacing w:val="-16"/>
                <w:kern w:val="21"/>
                <w:szCs w:val="21"/>
                <w:lang w:val="en-US" w:eastAsia="zh-CN"/>
              </w:rPr>
              <w:fldChar w:fldCharType="end"/>
            </w:r>
          </w:p>
        </w:tc>
        <w:tc>
          <w:tcPr>
            <w:tcW w:w="1641" w:type="dxa"/>
            <w:noWrap w:val="0"/>
            <w:tcMar>
              <w:left w:w="28" w:type="dxa"/>
              <w:right w:w="28" w:type="dxa"/>
            </w:tcMar>
            <w:vAlign w:val="center"/>
          </w:tcPr>
          <w:p w14:paraId="22400093">
            <w:pPr>
              <w:pStyle w:val="22"/>
              <w:spacing w:beforeLines="0" w:afterLines="0" w:line="240" w:lineRule="auto"/>
              <w:rPr>
                <w:rFonts w:ascii="Times New Roman" w:eastAsia="黑体"/>
                <w:snapToGrid w:val="0"/>
                <w:color w:val="auto"/>
                <w:spacing w:val="-16"/>
                <w:kern w:val="21"/>
                <w:szCs w:val="21"/>
                <w:lang w:val="en-US" w:eastAsia="zh-CN"/>
              </w:rPr>
            </w:pPr>
            <w:r>
              <w:rPr>
                <w:rFonts w:ascii="Times New Roman" w:hAnsi="黑体" w:eastAsia="黑体"/>
                <w:snapToGrid w:val="0"/>
                <w:color w:val="auto"/>
                <w:spacing w:val="-16"/>
                <w:kern w:val="21"/>
                <w:szCs w:val="21"/>
                <w:lang w:val="en-US" w:eastAsia="zh-CN"/>
              </w:rPr>
              <w:t>本项目建成后</w:t>
            </w:r>
          </w:p>
          <w:p w14:paraId="6E381F9A">
            <w:pPr>
              <w:pStyle w:val="22"/>
              <w:spacing w:beforeLines="0" w:afterLines="0" w:line="240" w:lineRule="auto"/>
              <w:rPr>
                <w:rFonts w:ascii="Times New Roman" w:eastAsia="黑体"/>
                <w:snapToGrid w:val="0"/>
                <w:color w:val="auto"/>
                <w:spacing w:val="-16"/>
                <w:kern w:val="21"/>
                <w:szCs w:val="21"/>
                <w:lang w:val="en-US" w:eastAsia="zh-CN"/>
              </w:rPr>
            </w:pPr>
            <w:r>
              <w:rPr>
                <w:rFonts w:ascii="Times New Roman" w:hAnsi="黑体" w:eastAsia="黑体"/>
                <w:snapToGrid w:val="0"/>
                <w:color w:val="auto"/>
                <w:spacing w:val="-16"/>
                <w:kern w:val="21"/>
                <w:szCs w:val="21"/>
                <w:lang w:val="en-US" w:eastAsia="zh-CN"/>
              </w:rPr>
              <w:t>全厂排放量（固体废物产生量）</w:t>
            </w:r>
            <w:r>
              <w:rPr>
                <w:rFonts w:ascii="Times New Roman" w:eastAsia="黑体"/>
                <w:snapToGrid w:val="0"/>
                <w:color w:val="auto"/>
                <w:spacing w:val="-16"/>
                <w:kern w:val="21"/>
                <w:szCs w:val="21"/>
                <w:lang w:val="en-US" w:eastAsia="zh-CN"/>
              </w:rPr>
              <w:fldChar w:fldCharType="begin"/>
            </w:r>
            <w:r>
              <w:rPr>
                <w:rFonts w:ascii="Times New Roman" w:eastAsia="黑体"/>
                <w:snapToGrid w:val="0"/>
                <w:color w:val="auto"/>
                <w:spacing w:val="-16"/>
                <w:kern w:val="21"/>
                <w:szCs w:val="21"/>
                <w:lang w:val="en-US" w:eastAsia="zh-CN"/>
              </w:rPr>
              <w:instrText xml:space="preserve"> = 6 \* GB3 \* MERGEFORMAT </w:instrText>
            </w:r>
            <w:r>
              <w:rPr>
                <w:rFonts w:ascii="Times New Roman" w:eastAsia="黑体"/>
                <w:snapToGrid w:val="0"/>
                <w:color w:val="auto"/>
                <w:spacing w:val="-16"/>
                <w:kern w:val="21"/>
                <w:szCs w:val="21"/>
                <w:lang w:val="en-US" w:eastAsia="zh-CN"/>
              </w:rPr>
              <w:fldChar w:fldCharType="separate"/>
            </w:r>
            <w:r>
              <w:rPr>
                <w:rFonts w:ascii="黑体" w:hAnsi="黑体" w:eastAsia="黑体"/>
                <w:color w:val="auto"/>
                <w:kern w:val="2"/>
                <w:szCs w:val="21"/>
                <w:lang w:val="en-US" w:eastAsia="zh-CN"/>
              </w:rPr>
              <w:t>⑥</w:t>
            </w:r>
            <w:r>
              <w:rPr>
                <w:rFonts w:ascii="Times New Roman" w:eastAsia="黑体"/>
                <w:snapToGrid w:val="0"/>
                <w:color w:val="auto"/>
                <w:spacing w:val="-16"/>
                <w:kern w:val="21"/>
                <w:szCs w:val="21"/>
                <w:lang w:val="en-US" w:eastAsia="zh-CN"/>
              </w:rPr>
              <w:fldChar w:fldCharType="end"/>
            </w:r>
          </w:p>
        </w:tc>
        <w:tc>
          <w:tcPr>
            <w:tcW w:w="1144" w:type="dxa"/>
            <w:noWrap w:val="0"/>
            <w:tcMar>
              <w:left w:w="28" w:type="dxa"/>
              <w:right w:w="28" w:type="dxa"/>
            </w:tcMar>
            <w:vAlign w:val="center"/>
          </w:tcPr>
          <w:p w14:paraId="18CF1F5B">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hAnsi="黑体" w:eastAsia="黑体"/>
                <w:snapToGrid w:val="0"/>
                <w:color w:val="auto"/>
                <w:spacing w:val="-6"/>
                <w:kern w:val="21"/>
                <w:szCs w:val="21"/>
                <w:lang w:val="en-US" w:eastAsia="zh-CN"/>
              </w:rPr>
              <w:t>变化量</w:t>
            </w:r>
          </w:p>
          <w:p w14:paraId="0F10315D">
            <w:pPr>
              <w:pStyle w:val="22"/>
              <w:spacing w:beforeLines="0" w:afterLines="0" w:line="240" w:lineRule="auto"/>
              <w:rPr>
                <w:rFonts w:ascii="Times New Roman" w:eastAsia="黑体"/>
                <w:snapToGrid w:val="0"/>
                <w:color w:val="auto"/>
                <w:spacing w:val="-6"/>
                <w:kern w:val="21"/>
                <w:szCs w:val="21"/>
                <w:lang w:val="en-US" w:eastAsia="zh-CN"/>
              </w:rPr>
            </w:pPr>
            <w:r>
              <w:rPr>
                <w:rFonts w:ascii="Times New Roman" w:eastAsia="黑体"/>
                <w:snapToGrid w:val="0"/>
                <w:color w:val="auto"/>
                <w:spacing w:val="-6"/>
                <w:kern w:val="21"/>
                <w:szCs w:val="21"/>
                <w:lang w:val="en-US" w:eastAsia="zh-CN"/>
              </w:rPr>
              <w:fldChar w:fldCharType="begin"/>
            </w:r>
            <w:r>
              <w:rPr>
                <w:rFonts w:ascii="Times New Roman" w:eastAsia="黑体"/>
                <w:snapToGrid w:val="0"/>
                <w:color w:val="auto"/>
                <w:spacing w:val="-6"/>
                <w:kern w:val="21"/>
                <w:szCs w:val="21"/>
                <w:lang w:val="en-US" w:eastAsia="zh-CN"/>
              </w:rPr>
              <w:instrText xml:space="preserve"> = 7 \* GB3 \* MERGEFORMAT </w:instrText>
            </w:r>
            <w:r>
              <w:rPr>
                <w:rFonts w:ascii="Times New Roman" w:eastAsia="黑体"/>
                <w:snapToGrid w:val="0"/>
                <w:color w:val="auto"/>
                <w:spacing w:val="-6"/>
                <w:kern w:val="21"/>
                <w:szCs w:val="21"/>
                <w:lang w:val="en-US" w:eastAsia="zh-CN"/>
              </w:rPr>
              <w:fldChar w:fldCharType="separate"/>
            </w:r>
            <w:r>
              <w:rPr>
                <w:rFonts w:ascii="黑体" w:hAnsi="黑体" w:eastAsia="黑体"/>
                <w:color w:val="auto"/>
                <w:kern w:val="2"/>
                <w:szCs w:val="21"/>
                <w:lang w:val="en-US" w:eastAsia="zh-CN"/>
              </w:rPr>
              <w:t>⑦</w:t>
            </w:r>
            <w:r>
              <w:rPr>
                <w:rFonts w:ascii="Times New Roman" w:eastAsia="黑体"/>
                <w:snapToGrid w:val="0"/>
                <w:color w:val="auto"/>
                <w:spacing w:val="-6"/>
                <w:kern w:val="21"/>
                <w:szCs w:val="21"/>
                <w:lang w:val="en-US" w:eastAsia="zh-CN"/>
              </w:rPr>
              <w:fldChar w:fldCharType="end"/>
            </w:r>
          </w:p>
        </w:tc>
      </w:tr>
      <w:tr w14:paraId="3EEAC0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noWrap w:val="0"/>
            <w:vAlign w:val="center"/>
          </w:tcPr>
          <w:p w14:paraId="2F4708F7">
            <w:pPr>
              <w:pStyle w:val="22"/>
              <w:spacing w:beforeLines="0" w:afterLines="0" w:line="240" w:lineRule="auto"/>
              <w:rPr>
                <w:rFonts w:ascii="Times New Roman"/>
                <w:snapToGrid w:val="0"/>
                <w:color w:val="auto"/>
                <w:kern w:val="21"/>
                <w:szCs w:val="21"/>
                <w:lang w:val="en-US" w:eastAsia="zh-CN"/>
              </w:rPr>
            </w:pPr>
            <w:r>
              <w:rPr>
                <w:rFonts w:ascii="Times New Roman" w:hAnsi="宋体"/>
                <w:snapToGrid w:val="0"/>
                <w:color w:val="auto"/>
                <w:kern w:val="21"/>
                <w:szCs w:val="21"/>
                <w:lang w:val="en-US" w:eastAsia="zh-CN"/>
              </w:rPr>
              <w:t>废气</w:t>
            </w:r>
          </w:p>
        </w:tc>
        <w:tc>
          <w:tcPr>
            <w:tcW w:w="1843" w:type="dxa"/>
            <w:noWrap w:val="0"/>
            <w:vAlign w:val="center"/>
          </w:tcPr>
          <w:p w14:paraId="167FD98B">
            <w:pPr>
              <w:pStyle w:val="22"/>
              <w:spacing w:beforeLines="0" w:afterLines="0" w:line="240" w:lineRule="auto"/>
              <w:rPr>
                <w:rFonts w:hint="default" w:ascii="Times New Roman"/>
                <w:snapToGrid w:val="0"/>
                <w:color w:val="auto"/>
                <w:kern w:val="21"/>
                <w:szCs w:val="21"/>
                <w:lang w:val="en-US" w:eastAsia="zh-CN"/>
              </w:rPr>
            </w:pPr>
            <w:r>
              <w:rPr>
                <w:rFonts w:hint="eastAsia" w:ascii="Times New Roman"/>
                <w:snapToGrid w:val="0"/>
                <w:color w:val="auto"/>
                <w:kern w:val="21"/>
                <w:szCs w:val="21"/>
                <w:lang w:val="en-US" w:eastAsia="zh-CN"/>
              </w:rPr>
              <w:t>/</w:t>
            </w:r>
          </w:p>
        </w:tc>
        <w:tc>
          <w:tcPr>
            <w:tcW w:w="1701" w:type="dxa"/>
            <w:noWrap w:val="0"/>
            <w:vAlign w:val="center"/>
          </w:tcPr>
          <w:p w14:paraId="722701EE">
            <w:pPr>
              <w:jc w:val="center"/>
              <w:rPr>
                <w:rFonts w:hint="default" w:eastAsia="宋体"/>
                <w:color w:val="auto"/>
                <w:lang w:val="en-US" w:eastAsia="zh-CN"/>
              </w:rPr>
            </w:pPr>
            <w:r>
              <w:rPr>
                <w:rFonts w:hint="eastAsia" w:eastAsia="宋体"/>
                <w:color w:val="auto"/>
                <w:lang w:val="en-US" w:eastAsia="zh-CN"/>
              </w:rPr>
              <w:t>0</w:t>
            </w:r>
          </w:p>
        </w:tc>
        <w:tc>
          <w:tcPr>
            <w:tcW w:w="1276" w:type="dxa"/>
            <w:noWrap w:val="0"/>
            <w:vAlign w:val="center"/>
          </w:tcPr>
          <w:p w14:paraId="3F339548">
            <w:pPr>
              <w:jc w:val="center"/>
              <w:rPr>
                <w:rFonts w:hint="default" w:eastAsia="宋体"/>
                <w:color w:val="auto"/>
                <w:lang w:val="en-US" w:eastAsia="zh-CN"/>
              </w:rPr>
            </w:pPr>
            <w:r>
              <w:rPr>
                <w:rFonts w:hint="eastAsia" w:eastAsia="宋体"/>
                <w:color w:val="auto"/>
                <w:lang w:val="en-US" w:eastAsia="zh-CN"/>
              </w:rPr>
              <w:t>0</w:t>
            </w:r>
          </w:p>
        </w:tc>
        <w:tc>
          <w:tcPr>
            <w:tcW w:w="1701" w:type="dxa"/>
            <w:noWrap w:val="0"/>
            <w:vAlign w:val="center"/>
          </w:tcPr>
          <w:p w14:paraId="5439E992">
            <w:pPr>
              <w:jc w:val="center"/>
              <w:rPr>
                <w:rFonts w:hint="eastAsia" w:eastAsia="宋体"/>
                <w:color w:val="auto"/>
                <w:lang w:val="en-US" w:eastAsia="zh-CN"/>
              </w:rPr>
            </w:pPr>
            <w:r>
              <w:rPr>
                <w:rFonts w:hint="eastAsia"/>
                <w:color w:val="auto"/>
                <w:lang w:val="en-US" w:eastAsia="zh-CN"/>
              </w:rPr>
              <w:t>0</w:t>
            </w:r>
          </w:p>
        </w:tc>
        <w:tc>
          <w:tcPr>
            <w:tcW w:w="1559" w:type="dxa"/>
            <w:noWrap w:val="0"/>
            <w:vAlign w:val="center"/>
          </w:tcPr>
          <w:p w14:paraId="1CD5C091">
            <w:pPr>
              <w:tabs>
                <w:tab w:val="left" w:pos="3620"/>
              </w:tabs>
              <w:adjustRightInd w:val="0"/>
              <w:snapToGrid w:val="0"/>
              <w:jc w:val="center"/>
              <w:rPr>
                <w:rFonts w:hint="default" w:eastAsia="宋体"/>
                <w:snapToGrid w:val="0"/>
                <w:color w:val="auto"/>
                <w:kern w:val="21"/>
                <w:szCs w:val="21"/>
                <w:lang w:val="en-US" w:eastAsia="zh-CN"/>
              </w:rPr>
            </w:pPr>
            <w:r>
              <w:rPr>
                <w:rFonts w:hint="eastAsia" w:eastAsia="宋体"/>
                <w:snapToGrid w:val="0"/>
                <w:color w:val="auto"/>
                <w:kern w:val="21"/>
                <w:szCs w:val="21"/>
                <w:lang w:val="en-US" w:eastAsia="zh-CN"/>
              </w:rPr>
              <w:t>0</w:t>
            </w:r>
          </w:p>
        </w:tc>
        <w:tc>
          <w:tcPr>
            <w:tcW w:w="1761" w:type="dxa"/>
            <w:noWrap w:val="0"/>
            <w:vAlign w:val="center"/>
          </w:tcPr>
          <w:p w14:paraId="10D2E23B">
            <w:pPr>
              <w:jc w:val="center"/>
              <w:rPr>
                <w:rFonts w:hint="eastAsia" w:eastAsia="宋体"/>
                <w:color w:val="auto"/>
                <w:lang w:val="en-US" w:eastAsia="zh-CN"/>
              </w:rPr>
            </w:pPr>
            <w:r>
              <w:rPr>
                <w:rFonts w:hint="eastAsia"/>
                <w:color w:val="auto"/>
                <w:lang w:val="en-US" w:eastAsia="zh-CN"/>
              </w:rPr>
              <w:t>0</w:t>
            </w:r>
          </w:p>
        </w:tc>
        <w:tc>
          <w:tcPr>
            <w:tcW w:w="1641" w:type="dxa"/>
            <w:noWrap w:val="0"/>
            <w:vAlign w:val="center"/>
          </w:tcPr>
          <w:p w14:paraId="52F161D8">
            <w:pPr>
              <w:tabs>
                <w:tab w:val="left" w:pos="3620"/>
              </w:tabs>
              <w:adjustRightInd w:val="0"/>
              <w:snapToGrid w:val="0"/>
              <w:jc w:val="center"/>
              <w:rPr>
                <w:rFonts w:hint="default" w:eastAsia="宋体"/>
                <w:color w:val="auto"/>
                <w:szCs w:val="21"/>
                <w:lang w:val="en-US" w:eastAsia="zh-CN"/>
              </w:rPr>
            </w:pPr>
            <w:r>
              <w:rPr>
                <w:rFonts w:hint="eastAsia" w:eastAsia="宋体"/>
                <w:color w:val="auto"/>
                <w:szCs w:val="21"/>
                <w:lang w:val="en-US" w:eastAsia="zh-CN"/>
              </w:rPr>
              <w:t>0</w:t>
            </w:r>
          </w:p>
        </w:tc>
        <w:tc>
          <w:tcPr>
            <w:tcW w:w="1144" w:type="dxa"/>
            <w:noWrap w:val="0"/>
            <w:vAlign w:val="center"/>
          </w:tcPr>
          <w:p w14:paraId="4C94590F">
            <w:pPr>
              <w:pStyle w:val="22"/>
              <w:spacing w:beforeLines="0" w:afterLines="0" w:line="240" w:lineRule="auto"/>
              <w:rPr>
                <w:rFonts w:hint="default" w:ascii="Times New Roman"/>
                <w:color w:val="auto"/>
                <w:kern w:val="2"/>
                <w:szCs w:val="21"/>
                <w:lang w:val="en-US" w:eastAsia="zh-CN"/>
              </w:rPr>
            </w:pPr>
            <w:r>
              <w:rPr>
                <w:rFonts w:hint="eastAsia" w:ascii="Times New Roman"/>
                <w:color w:val="auto"/>
                <w:kern w:val="2"/>
                <w:szCs w:val="21"/>
                <w:lang w:val="en-US" w:eastAsia="zh-CN"/>
              </w:rPr>
              <w:t>0</w:t>
            </w:r>
          </w:p>
        </w:tc>
      </w:tr>
      <w:tr w14:paraId="1A99E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vMerge w:val="restart"/>
            <w:noWrap w:val="0"/>
            <w:vAlign w:val="center"/>
          </w:tcPr>
          <w:p w14:paraId="5F1617A0">
            <w:pPr>
              <w:pStyle w:val="22"/>
              <w:spacing w:before="24" w:after="24"/>
              <w:rPr>
                <w:rFonts w:ascii="Times New Roman"/>
                <w:snapToGrid w:val="0"/>
                <w:color w:val="auto"/>
                <w:kern w:val="21"/>
                <w:szCs w:val="21"/>
                <w:lang w:val="en-US" w:eastAsia="zh-CN"/>
              </w:rPr>
            </w:pPr>
            <w:r>
              <w:rPr>
                <w:rFonts w:ascii="Times New Roman" w:hAnsi="宋体"/>
                <w:snapToGrid w:val="0"/>
                <w:color w:val="auto"/>
                <w:kern w:val="21"/>
                <w:szCs w:val="21"/>
                <w:lang w:val="en-US" w:eastAsia="zh-CN"/>
              </w:rPr>
              <w:t>废水</w:t>
            </w:r>
          </w:p>
        </w:tc>
        <w:tc>
          <w:tcPr>
            <w:tcW w:w="1843" w:type="dxa"/>
            <w:noWrap w:val="0"/>
            <w:vAlign w:val="center"/>
          </w:tcPr>
          <w:p w14:paraId="2B69F342">
            <w:pPr>
              <w:tabs>
                <w:tab w:val="left" w:pos="3620"/>
              </w:tabs>
              <w:adjustRightInd w:val="0"/>
              <w:snapToGrid w:val="0"/>
              <w:jc w:val="center"/>
              <w:rPr>
                <w:color w:val="auto"/>
                <w:szCs w:val="21"/>
              </w:rPr>
            </w:pPr>
            <w:r>
              <w:rPr>
                <w:color w:val="auto"/>
                <w:szCs w:val="21"/>
              </w:rPr>
              <w:t>COD</w:t>
            </w:r>
          </w:p>
        </w:tc>
        <w:tc>
          <w:tcPr>
            <w:tcW w:w="1701" w:type="dxa"/>
            <w:noWrap w:val="0"/>
            <w:vAlign w:val="center"/>
          </w:tcPr>
          <w:p w14:paraId="6BA8FC01">
            <w:pPr>
              <w:jc w:val="center"/>
              <w:rPr>
                <w:color w:val="auto"/>
              </w:rPr>
            </w:pPr>
            <w:r>
              <w:rPr>
                <w:snapToGrid w:val="0"/>
                <w:color w:val="auto"/>
                <w:kern w:val="21"/>
                <w:szCs w:val="21"/>
              </w:rPr>
              <w:t>0</w:t>
            </w:r>
          </w:p>
        </w:tc>
        <w:tc>
          <w:tcPr>
            <w:tcW w:w="1276" w:type="dxa"/>
            <w:noWrap w:val="0"/>
            <w:vAlign w:val="center"/>
          </w:tcPr>
          <w:p w14:paraId="47A2273D">
            <w:pPr>
              <w:jc w:val="center"/>
              <w:rPr>
                <w:color w:val="auto"/>
              </w:rPr>
            </w:pPr>
            <w:r>
              <w:rPr>
                <w:snapToGrid w:val="0"/>
                <w:color w:val="auto"/>
                <w:kern w:val="21"/>
                <w:szCs w:val="21"/>
              </w:rPr>
              <w:t>0</w:t>
            </w:r>
          </w:p>
        </w:tc>
        <w:tc>
          <w:tcPr>
            <w:tcW w:w="1701" w:type="dxa"/>
            <w:noWrap w:val="0"/>
            <w:vAlign w:val="center"/>
          </w:tcPr>
          <w:p w14:paraId="70BE6D7E">
            <w:pPr>
              <w:jc w:val="center"/>
              <w:rPr>
                <w:color w:val="auto"/>
              </w:rPr>
            </w:pPr>
            <w:r>
              <w:rPr>
                <w:snapToGrid w:val="0"/>
                <w:color w:val="auto"/>
                <w:kern w:val="21"/>
                <w:szCs w:val="21"/>
              </w:rPr>
              <w:t>0</w:t>
            </w:r>
          </w:p>
        </w:tc>
        <w:tc>
          <w:tcPr>
            <w:tcW w:w="1559" w:type="dxa"/>
            <w:noWrap w:val="0"/>
            <w:vAlign w:val="center"/>
          </w:tcPr>
          <w:p w14:paraId="7BDEB5A4">
            <w:pPr>
              <w:tabs>
                <w:tab w:val="left" w:pos="3620"/>
              </w:tabs>
              <w:adjustRightInd w:val="0"/>
              <w:snapToGrid w:val="0"/>
              <w:jc w:val="center"/>
              <w:rPr>
                <w:rFonts w:hint="eastAsia" w:eastAsia="宋体"/>
                <w:color w:val="auto"/>
                <w:szCs w:val="21"/>
                <w:lang w:eastAsia="zh-CN"/>
              </w:rPr>
            </w:pPr>
            <w:r>
              <w:rPr>
                <w:rFonts w:hint="eastAsia"/>
                <w:color w:val="auto"/>
                <w:szCs w:val="21"/>
                <w:lang w:val="en-US" w:eastAsia="zh-CN"/>
              </w:rPr>
              <w:t>0</w:t>
            </w:r>
          </w:p>
        </w:tc>
        <w:tc>
          <w:tcPr>
            <w:tcW w:w="1761" w:type="dxa"/>
            <w:noWrap w:val="0"/>
            <w:vAlign w:val="center"/>
          </w:tcPr>
          <w:p w14:paraId="39EF0EB6">
            <w:pPr>
              <w:jc w:val="center"/>
              <w:rPr>
                <w:color w:val="auto"/>
              </w:rPr>
            </w:pPr>
            <w:r>
              <w:rPr>
                <w:snapToGrid w:val="0"/>
                <w:color w:val="auto"/>
                <w:kern w:val="21"/>
                <w:szCs w:val="21"/>
              </w:rPr>
              <w:t>0</w:t>
            </w:r>
          </w:p>
        </w:tc>
        <w:tc>
          <w:tcPr>
            <w:tcW w:w="1641" w:type="dxa"/>
            <w:noWrap w:val="0"/>
            <w:vAlign w:val="center"/>
          </w:tcPr>
          <w:p w14:paraId="4B59AF8F">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c>
          <w:tcPr>
            <w:tcW w:w="1144" w:type="dxa"/>
            <w:noWrap w:val="0"/>
            <w:vAlign w:val="center"/>
          </w:tcPr>
          <w:p w14:paraId="6D263C34">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r>
      <w:tr w14:paraId="17B720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vMerge w:val="continue"/>
            <w:noWrap w:val="0"/>
            <w:vAlign w:val="center"/>
          </w:tcPr>
          <w:p w14:paraId="2852A314">
            <w:pPr>
              <w:pStyle w:val="22"/>
              <w:spacing w:before="24" w:after="24"/>
              <w:rPr>
                <w:rFonts w:ascii="Times New Roman"/>
                <w:snapToGrid w:val="0"/>
                <w:color w:val="auto"/>
                <w:kern w:val="21"/>
                <w:szCs w:val="21"/>
                <w:lang w:val="en-US" w:eastAsia="zh-CN"/>
              </w:rPr>
            </w:pPr>
          </w:p>
        </w:tc>
        <w:tc>
          <w:tcPr>
            <w:tcW w:w="1843" w:type="dxa"/>
            <w:noWrap w:val="0"/>
            <w:vAlign w:val="center"/>
          </w:tcPr>
          <w:p w14:paraId="05AE09E8">
            <w:pPr>
              <w:tabs>
                <w:tab w:val="left" w:pos="3620"/>
              </w:tabs>
              <w:adjustRightInd w:val="0"/>
              <w:snapToGrid w:val="0"/>
              <w:jc w:val="center"/>
              <w:rPr>
                <w:color w:val="auto"/>
                <w:szCs w:val="21"/>
              </w:rPr>
            </w:pPr>
            <w:r>
              <w:rPr>
                <w:color w:val="auto"/>
                <w:szCs w:val="21"/>
              </w:rPr>
              <w:t>SS</w:t>
            </w:r>
          </w:p>
        </w:tc>
        <w:tc>
          <w:tcPr>
            <w:tcW w:w="1701" w:type="dxa"/>
            <w:noWrap w:val="0"/>
            <w:vAlign w:val="center"/>
          </w:tcPr>
          <w:p w14:paraId="29385770">
            <w:pPr>
              <w:jc w:val="center"/>
              <w:rPr>
                <w:color w:val="auto"/>
              </w:rPr>
            </w:pPr>
            <w:r>
              <w:rPr>
                <w:snapToGrid w:val="0"/>
                <w:color w:val="auto"/>
                <w:kern w:val="21"/>
                <w:szCs w:val="21"/>
              </w:rPr>
              <w:t>0</w:t>
            </w:r>
          </w:p>
        </w:tc>
        <w:tc>
          <w:tcPr>
            <w:tcW w:w="1276" w:type="dxa"/>
            <w:noWrap w:val="0"/>
            <w:vAlign w:val="center"/>
          </w:tcPr>
          <w:p w14:paraId="2A0A8386">
            <w:pPr>
              <w:jc w:val="center"/>
              <w:rPr>
                <w:color w:val="auto"/>
              </w:rPr>
            </w:pPr>
            <w:r>
              <w:rPr>
                <w:snapToGrid w:val="0"/>
                <w:color w:val="auto"/>
                <w:kern w:val="21"/>
                <w:szCs w:val="21"/>
              </w:rPr>
              <w:t>0</w:t>
            </w:r>
          </w:p>
        </w:tc>
        <w:tc>
          <w:tcPr>
            <w:tcW w:w="1701" w:type="dxa"/>
            <w:noWrap w:val="0"/>
            <w:vAlign w:val="center"/>
          </w:tcPr>
          <w:p w14:paraId="6673CA1D">
            <w:pPr>
              <w:jc w:val="center"/>
              <w:rPr>
                <w:color w:val="auto"/>
              </w:rPr>
            </w:pPr>
            <w:r>
              <w:rPr>
                <w:snapToGrid w:val="0"/>
                <w:color w:val="auto"/>
                <w:kern w:val="21"/>
                <w:szCs w:val="21"/>
              </w:rPr>
              <w:t>0</w:t>
            </w:r>
          </w:p>
        </w:tc>
        <w:tc>
          <w:tcPr>
            <w:tcW w:w="1559" w:type="dxa"/>
            <w:noWrap w:val="0"/>
            <w:vAlign w:val="center"/>
          </w:tcPr>
          <w:p w14:paraId="77656CE6">
            <w:pPr>
              <w:tabs>
                <w:tab w:val="left" w:pos="3620"/>
              </w:tabs>
              <w:adjustRightInd w:val="0"/>
              <w:snapToGrid w:val="0"/>
              <w:jc w:val="center"/>
              <w:rPr>
                <w:rFonts w:hint="eastAsia" w:eastAsia="宋体"/>
                <w:color w:val="auto"/>
                <w:szCs w:val="21"/>
                <w:lang w:eastAsia="zh-CN"/>
              </w:rPr>
            </w:pPr>
            <w:r>
              <w:rPr>
                <w:rFonts w:hint="eastAsia"/>
                <w:color w:val="auto"/>
                <w:szCs w:val="21"/>
                <w:lang w:val="en-US" w:eastAsia="zh-CN"/>
              </w:rPr>
              <w:t>0</w:t>
            </w:r>
          </w:p>
        </w:tc>
        <w:tc>
          <w:tcPr>
            <w:tcW w:w="1761" w:type="dxa"/>
            <w:noWrap w:val="0"/>
            <w:vAlign w:val="center"/>
          </w:tcPr>
          <w:p w14:paraId="2BFADF23">
            <w:pPr>
              <w:jc w:val="center"/>
              <w:rPr>
                <w:color w:val="auto"/>
              </w:rPr>
            </w:pPr>
            <w:r>
              <w:rPr>
                <w:snapToGrid w:val="0"/>
                <w:color w:val="auto"/>
                <w:kern w:val="21"/>
                <w:szCs w:val="21"/>
              </w:rPr>
              <w:t>0</w:t>
            </w:r>
          </w:p>
        </w:tc>
        <w:tc>
          <w:tcPr>
            <w:tcW w:w="1641" w:type="dxa"/>
            <w:noWrap w:val="0"/>
            <w:vAlign w:val="center"/>
          </w:tcPr>
          <w:p w14:paraId="3FEA92E8">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c>
          <w:tcPr>
            <w:tcW w:w="1144" w:type="dxa"/>
            <w:noWrap w:val="0"/>
            <w:vAlign w:val="center"/>
          </w:tcPr>
          <w:p w14:paraId="1AC39685">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r>
      <w:tr w14:paraId="70FCE5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vMerge w:val="continue"/>
            <w:noWrap w:val="0"/>
            <w:vAlign w:val="center"/>
          </w:tcPr>
          <w:p w14:paraId="697622E1">
            <w:pPr>
              <w:pStyle w:val="22"/>
              <w:spacing w:before="24" w:after="24"/>
              <w:rPr>
                <w:rFonts w:ascii="Times New Roman"/>
                <w:snapToGrid w:val="0"/>
                <w:color w:val="auto"/>
                <w:kern w:val="21"/>
                <w:szCs w:val="21"/>
                <w:lang w:val="en-US" w:eastAsia="zh-CN"/>
              </w:rPr>
            </w:pPr>
          </w:p>
        </w:tc>
        <w:tc>
          <w:tcPr>
            <w:tcW w:w="1843" w:type="dxa"/>
            <w:noWrap w:val="0"/>
            <w:vAlign w:val="center"/>
          </w:tcPr>
          <w:p w14:paraId="2743A9CF">
            <w:pPr>
              <w:tabs>
                <w:tab w:val="left" w:pos="3620"/>
              </w:tabs>
              <w:adjustRightInd w:val="0"/>
              <w:snapToGrid w:val="0"/>
              <w:jc w:val="center"/>
              <w:rPr>
                <w:color w:val="auto"/>
                <w:szCs w:val="21"/>
              </w:rPr>
            </w:pPr>
            <w:r>
              <w:rPr>
                <w:color w:val="auto"/>
                <w:szCs w:val="21"/>
              </w:rPr>
              <w:t>NH</w:t>
            </w:r>
            <w:r>
              <w:rPr>
                <w:color w:val="auto"/>
                <w:szCs w:val="21"/>
                <w:vertAlign w:val="subscript"/>
              </w:rPr>
              <w:t>3</w:t>
            </w:r>
            <w:r>
              <w:rPr>
                <w:color w:val="auto"/>
                <w:szCs w:val="21"/>
              </w:rPr>
              <w:t>-N</w:t>
            </w:r>
          </w:p>
        </w:tc>
        <w:tc>
          <w:tcPr>
            <w:tcW w:w="1701" w:type="dxa"/>
            <w:noWrap w:val="0"/>
            <w:vAlign w:val="center"/>
          </w:tcPr>
          <w:p w14:paraId="1FA69639">
            <w:pPr>
              <w:jc w:val="center"/>
              <w:rPr>
                <w:color w:val="auto"/>
              </w:rPr>
            </w:pPr>
            <w:r>
              <w:rPr>
                <w:snapToGrid w:val="0"/>
                <w:color w:val="auto"/>
                <w:kern w:val="21"/>
                <w:szCs w:val="21"/>
              </w:rPr>
              <w:t>0</w:t>
            </w:r>
          </w:p>
        </w:tc>
        <w:tc>
          <w:tcPr>
            <w:tcW w:w="1276" w:type="dxa"/>
            <w:noWrap w:val="0"/>
            <w:vAlign w:val="center"/>
          </w:tcPr>
          <w:p w14:paraId="23114059">
            <w:pPr>
              <w:jc w:val="center"/>
              <w:rPr>
                <w:color w:val="auto"/>
              </w:rPr>
            </w:pPr>
            <w:r>
              <w:rPr>
                <w:snapToGrid w:val="0"/>
                <w:color w:val="auto"/>
                <w:kern w:val="21"/>
                <w:szCs w:val="21"/>
              </w:rPr>
              <w:t>0</w:t>
            </w:r>
          </w:p>
        </w:tc>
        <w:tc>
          <w:tcPr>
            <w:tcW w:w="1701" w:type="dxa"/>
            <w:noWrap w:val="0"/>
            <w:vAlign w:val="center"/>
          </w:tcPr>
          <w:p w14:paraId="1D9F176C">
            <w:pPr>
              <w:jc w:val="center"/>
              <w:rPr>
                <w:color w:val="auto"/>
              </w:rPr>
            </w:pPr>
            <w:r>
              <w:rPr>
                <w:snapToGrid w:val="0"/>
                <w:color w:val="auto"/>
                <w:kern w:val="21"/>
                <w:szCs w:val="21"/>
              </w:rPr>
              <w:t>0</w:t>
            </w:r>
          </w:p>
        </w:tc>
        <w:tc>
          <w:tcPr>
            <w:tcW w:w="1559" w:type="dxa"/>
            <w:noWrap w:val="0"/>
            <w:vAlign w:val="center"/>
          </w:tcPr>
          <w:p w14:paraId="7F9372BB">
            <w:pPr>
              <w:tabs>
                <w:tab w:val="left" w:pos="3620"/>
              </w:tabs>
              <w:adjustRightInd w:val="0"/>
              <w:snapToGrid w:val="0"/>
              <w:jc w:val="center"/>
              <w:rPr>
                <w:rFonts w:hint="eastAsia" w:eastAsia="宋体"/>
                <w:color w:val="auto"/>
                <w:szCs w:val="21"/>
                <w:lang w:eastAsia="zh-CN"/>
              </w:rPr>
            </w:pPr>
            <w:r>
              <w:rPr>
                <w:rFonts w:hint="eastAsia"/>
                <w:color w:val="auto"/>
                <w:szCs w:val="21"/>
                <w:lang w:val="en-US" w:eastAsia="zh-CN"/>
              </w:rPr>
              <w:t>0</w:t>
            </w:r>
          </w:p>
        </w:tc>
        <w:tc>
          <w:tcPr>
            <w:tcW w:w="1761" w:type="dxa"/>
            <w:noWrap w:val="0"/>
            <w:vAlign w:val="center"/>
          </w:tcPr>
          <w:p w14:paraId="5229EDDB">
            <w:pPr>
              <w:jc w:val="center"/>
              <w:rPr>
                <w:color w:val="auto"/>
              </w:rPr>
            </w:pPr>
            <w:r>
              <w:rPr>
                <w:snapToGrid w:val="0"/>
                <w:color w:val="auto"/>
                <w:kern w:val="21"/>
                <w:szCs w:val="21"/>
              </w:rPr>
              <w:t>0</w:t>
            </w:r>
          </w:p>
        </w:tc>
        <w:tc>
          <w:tcPr>
            <w:tcW w:w="1641" w:type="dxa"/>
            <w:noWrap w:val="0"/>
            <w:vAlign w:val="center"/>
          </w:tcPr>
          <w:p w14:paraId="02B33FDA">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c>
          <w:tcPr>
            <w:tcW w:w="1144" w:type="dxa"/>
            <w:noWrap w:val="0"/>
            <w:vAlign w:val="center"/>
          </w:tcPr>
          <w:p w14:paraId="4F396587">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r>
      <w:tr w14:paraId="39306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vMerge w:val="continue"/>
            <w:noWrap w:val="0"/>
            <w:vAlign w:val="center"/>
          </w:tcPr>
          <w:p w14:paraId="69A0B6EB">
            <w:pPr>
              <w:pStyle w:val="22"/>
              <w:spacing w:before="24" w:after="24"/>
              <w:rPr>
                <w:rFonts w:ascii="Times New Roman"/>
                <w:snapToGrid w:val="0"/>
                <w:color w:val="auto"/>
                <w:kern w:val="21"/>
                <w:szCs w:val="21"/>
                <w:lang w:val="en-US" w:eastAsia="zh-CN"/>
              </w:rPr>
            </w:pPr>
          </w:p>
        </w:tc>
        <w:tc>
          <w:tcPr>
            <w:tcW w:w="1843" w:type="dxa"/>
            <w:noWrap w:val="0"/>
            <w:vAlign w:val="center"/>
          </w:tcPr>
          <w:p w14:paraId="65F2A562">
            <w:pPr>
              <w:tabs>
                <w:tab w:val="left" w:pos="3620"/>
              </w:tabs>
              <w:adjustRightInd w:val="0"/>
              <w:snapToGrid w:val="0"/>
              <w:jc w:val="center"/>
              <w:rPr>
                <w:color w:val="auto"/>
                <w:szCs w:val="21"/>
              </w:rPr>
            </w:pPr>
            <w:r>
              <w:rPr>
                <w:color w:val="auto"/>
                <w:szCs w:val="21"/>
              </w:rPr>
              <w:t>TP</w:t>
            </w:r>
          </w:p>
        </w:tc>
        <w:tc>
          <w:tcPr>
            <w:tcW w:w="1701" w:type="dxa"/>
            <w:noWrap w:val="0"/>
            <w:vAlign w:val="center"/>
          </w:tcPr>
          <w:p w14:paraId="373AD3F9">
            <w:pPr>
              <w:jc w:val="center"/>
              <w:rPr>
                <w:color w:val="auto"/>
              </w:rPr>
            </w:pPr>
            <w:r>
              <w:rPr>
                <w:snapToGrid w:val="0"/>
                <w:color w:val="auto"/>
                <w:kern w:val="21"/>
                <w:szCs w:val="21"/>
              </w:rPr>
              <w:t>0</w:t>
            </w:r>
          </w:p>
        </w:tc>
        <w:tc>
          <w:tcPr>
            <w:tcW w:w="1276" w:type="dxa"/>
            <w:noWrap w:val="0"/>
            <w:vAlign w:val="center"/>
          </w:tcPr>
          <w:p w14:paraId="1362B1C1">
            <w:pPr>
              <w:jc w:val="center"/>
              <w:rPr>
                <w:color w:val="auto"/>
              </w:rPr>
            </w:pPr>
            <w:r>
              <w:rPr>
                <w:snapToGrid w:val="0"/>
                <w:color w:val="auto"/>
                <w:kern w:val="21"/>
                <w:szCs w:val="21"/>
              </w:rPr>
              <w:t>0</w:t>
            </w:r>
          </w:p>
        </w:tc>
        <w:tc>
          <w:tcPr>
            <w:tcW w:w="1701" w:type="dxa"/>
            <w:noWrap w:val="0"/>
            <w:vAlign w:val="center"/>
          </w:tcPr>
          <w:p w14:paraId="11A7C054">
            <w:pPr>
              <w:jc w:val="center"/>
              <w:rPr>
                <w:color w:val="auto"/>
              </w:rPr>
            </w:pPr>
            <w:r>
              <w:rPr>
                <w:snapToGrid w:val="0"/>
                <w:color w:val="auto"/>
                <w:kern w:val="21"/>
                <w:szCs w:val="21"/>
              </w:rPr>
              <w:t>0</w:t>
            </w:r>
          </w:p>
        </w:tc>
        <w:tc>
          <w:tcPr>
            <w:tcW w:w="1559" w:type="dxa"/>
            <w:noWrap w:val="0"/>
            <w:vAlign w:val="center"/>
          </w:tcPr>
          <w:p w14:paraId="7501597C">
            <w:pPr>
              <w:tabs>
                <w:tab w:val="left" w:pos="3620"/>
              </w:tabs>
              <w:adjustRightInd w:val="0"/>
              <w:snapToGrid w:val="0"/>
              <w:jc w:val="center"/>
              <w:rPr>
                <w:rFonts w:hint="eastAsia" w:eastAsia="宋体"/>
                <w:color w:val="auto"/>
                <w:szCs w:val="21"/>
                <w:lang w:eastAsia="zh-CN"/>
              </w:rPr>
            </w:pPr>
            <w:r>
              <w:rPr>
                <w:rFonts w:hint="eastAsia"/>
                <w:color w:val="auto"/>
                <w:szCs w:val="21"/>
                <w:lang w:val="en-US" w:eastAsia="zh-CN"/>
              </w:rPr>
              <w:t>0</w:t>
            </w:r>
          </w:p>
        </w:tc>
        <w:tc>
          <w:tcPr>
            <w:tcW w:w="1761" w:type="dxa"/>
            <w:noWrap w:val="0"/>
            <w:vAlign w:val="center"/>
          </w:tcPr>
          <w:p w14:paraId="082FE53A">
            <w:pPr>
              <w:jc w:val="center"/>
              <w:rPr>
                <w:color w:val="auto"/>
              </w:rPr>
            </w:pPr>
            <w:r>
              <w:rPr>
                <w:snapToGrid w:val="0"/>
                <w:color w:val="auto"/>
                <w:kern w:val="21"/>
                <w:szCs w:val="21"/>
              </w:rPr>
              <w:t>0</w:t>
            </w:r>
          </w:p>
        </w:tc>
        <w:tc>
          <w:tcPr>
            <w:tcW w:w="1641" w:type="dxa"/>
            <w:noWrap w:val="0"/>
            <w:vAlign w:val="center"/>
          </w:tcPr>
          <w:p w14:paraId="697700A9">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c>
          <w:tcPr>
            <w:tcW w:w="1144" w:type="dxa"/>
            <w:noWrap w:val="0"/>
            <w:vAlign w:val="center"/>
          </w:tcPr>
          <w:p w14:paraId="2DF677B8">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r>
      <w:tr w14:paraId="0D598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vMerge w:val="continue"/>
            <w:noWrap w:val="0"/>
            <w:vAlign w:val="center"/>
          </w:tcPr>
          <w:p w14:paraId="41C0ADAD">
            <w:pPr>
              <w:pStyle w:val="22"/>
              <w:spacing w:beforeLines="0" w:afterLines="0" w:line="240" w:lineRule="auto"/>
              <w:rPr>
                <w:rFonts w:ascii="Times New Roman"/>
                <w:snapToGrid w:val="0"/>
                <w:color w:val="auto"/>
                <w:kern w:val="21"/>
                <w:szCs w:val="21"/>
                <w:lang w:val="en-US" w:eastAsia="zh-CN"/>
              </w:rPr>
            </w:pPr>
          </w:p>
        </w:tc>
        <w:tc>
          <w:tcPr>
            <w:tcW w:w="1843" w:type="dxa"/>
            <w:noWrap w:val="0"/>
            <w:vAlign w:val="center"/>
          </w:tcPr>
          <w:p w14:paraId="7A2FB4BA">
            <w:pPr>
              <w:tabs>
                <w:tab w:val="left" w:pos="3620"/>
              </w:tabs>
              <w:adjustRightInd w:val="0"/>
              <w:snapToGrid w:val="0"/>
              <w:jc w:val="center"/>
              <w:rPr>
                <w:color w:val="auto"/>
                <w:szCs w:val="21"/>
              </w:rPr>
            </w:pPr>
            <w:r>
              <w:rPr>
                <w:color w:val="auto"/>
                <w:szCs w:val="21"/>
              </w:rPr>
              <w:t>TN</w:t>
            </w:r>
          </w:p>
        </w:tc>
        <w:tc>
          <w:tcPr>
            <w:tcW w:w="1701" w:type="dxa"/>
            <w:noWrap w:val="0"/>
            <w:vAlign w:val="center"/>
          </w:tcPr>
          <w:p w14:paraId="66607D30">
            <w:pPr>
              <w:jc w:val="center"/>
              <w:rPr>
                <w:color w:val="auto"/>
              </w:rPr>
            </w:pPr>
            <w:r>
              <w:rPr>
                <w:snapToGrid w:val="0"/>
                <w:color w:val="auto"/>
                <w:kern w:val="21"/>
                <w:szCs w:val="21"/>
              </w:rPr>
              <w:t>0</w:t>
            </w:r>
          </w:p>
        </w:tc>
        <w:tc>
          <w:tcPr>
            <w:tcW w:w="1276" w:type="dxa"/>
            <w:noWrap w:val="0"/>
            <w:vAlign w:val="center"/>
          </w:tcPr>
          <w:p w14:paraId="5429C6C2">
            <w:pPr>
              <w:jc w:val="center"/>
              <w:rPr>
                <w:color w:val="auto"/>
              </w:rPr>
            </w:pPr>
            <w:r>
              <w:rPr>
                <w:snapToGrid w:val="0"/>
                <w:color w:val="auto"/>
                <w:kern w:val="21"/>
                <w:szCs w:val="21"/>
              </w:rPr>
              <w:t>0</w:t>
            </w:r>
          </w:p>
        </w:tc>
        <w:tc>
          <w:tcPr>
            <w:tcW w:w="1701" w:type="dxa"/>
            <w:noWrap w:val="0"/>
            <w:vAlign w:val="center"/>
          </w:tcPr>
          <w:p w14:paraId="142F9163">
            <w:pPr>
              <w:jc w:val="center"/>
              <w:rPr>
                <w:color w:val="auto"/>
              </w:rPr>
            </w:pPr>
            <w:r>
              <w:rPr>
                <w:snapToGrid w:val="0"/>
                <w:color w:val="auto"/>
                <w:kern w:val="21"/>
                <w:szCs w:val="21"/>
              </w:rPr>
              <w:t>0</w:t>
            </w:r>
          </w:p>
        </w:tc>
        <w:tc>
          <w:tcPr>
            <w:tcW w:w="1559" w:type="dxa"/>
            <w:noWrap w:val="0"/>
            <w:vAlign w:val="center"/>
          </w:tcPr>
          <w:p w14:paraId="7C99C692">
            <w:pPr>
              <w:tabs>
                <w:tab w:val="left" w:pos="3620"/>
              </w:tabs>
              <w:adjustRightInd w:val="0"/>
              <w:snapToGrid w:val="0"/>
              <w:jc w:val="center"/>
              <w:rPr>
                <w:rFonts w:hint="eastAsia" w:eastAsia="宋体"/>
                <w:color w:val="auto"/>
                <w:szCs w:val="21"/>
                <w:lang w:eastAsia="zh-CN"/>
              </w:rPr>
            </w:pPr>
            <w:r>
              <w:rPr>
                <w:rFonts w:hint="eastAsia"/>
                <w:color w:val="auto"/>
                <w:szCs w:val="21"/>
                <w:lang w:val="en-US" w:eastAsia="zh-CN"/>
              </w:rPr>
              <w:t>0</w:t>
            </w:r>
          </w:p>
        </w:tc>
        <w:tc>
          <w:tcPr>
            <w:tcW w:w="1761" w:type="dxa"/>
            <w:noWrap w:val="0"/>
            <w:vAlign w:val="center"/>
          </w:tcPr>
          <w:p w14:paraId="543D954C">
            <w:pPr>
              <w:jc w:val="center"/>
              <w:rPr>
                <w:color w:val="auto"/>
              </w:rPr>
            </w:pPr>
            <w:r>
              <w:rPr>
                <w:snapToGrid w:val="0"/>
                <w:color w:val="auto"/>
                <w:kern w:val="21"/>
                <w:szCs w:val="21"/>
              </w:rPr>
              <w:t>0</w:t>
            </w:r>
          </w:p>
        </w:tc>
        <w:tc>
          <w:tcPr>
            <w:tcW w:w="1641" w:type="dxa"/>
            <w:noWrap w:val="0"/>
            <w:vAlign w:val="center"/>
          </w:tcPr>
          <w:p w14:paraId="31FA77B2">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c>
          <w:tcPr>
            <w:tcW w:w="1144" w:type="dxa"/>
            <w:noWrap w:val="0"/>
            <w:vAlign w:val="center"/>
          </w:tcPr>
          <w:p w14:paraId="2AD23B27">
            <w:pPr>
              <w:jc w:val="center"/>
              <w:rPr>
                <w:rFonts w:ascii="Times New Roman" w:hAnsi="Times New Roman" w:eastAsia="宋体" w:cs="Times New Roman"/>
                <w:color w:val="auto"/>
                <w:kern w:val="2"/>
                <w:sz w:val="21"/>
                <w:szCs w:val="24"/>
                <w:lang w:val="en-US" w:eastAsia="zh-CN" w:bidi="ar-SA"/>
              </w:rPr>
            </w:pPr>
            <w:r>
              <w:rPr>
                <w:snapToGrid w:val="0"/>
                <w:color w:val="auto"/>
                <w:kern w:val="21"/>
                <w:szCs w:val="21"/>
              </w:rPr>
              <w:t>0</w:t>
            </w:r>
          </w:p>
        </w:tc>
      </w:tr>
      <w:tr w14:paraId="16BADB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vMerge w:val="restart"/>
            <w:noWrap w:val="0"/>
            <w:vAlign w:val="center"/>
          </w:tcPr>
          <w:p w14:paraId="765DF43A">
            <w:pPr>
              <w:pStyle w:val="22"/>
              <w:spacing w:beforeLines="0" w:afterLines="0" w:line="240" w:lineRule="auto"/>
              <w:rPr>
                <w:rFonts w:ascii="Times New Roman"/>
                <w:snapToGrid w:val="0"/>
                <w:color w:val="auto"/>
                <w:kern w:val="21"/>
                <w:szCs w:val="21"/>
                <w:lang w:val="en-US" w:eastAsia="zh-CN"/>
              </w:rPr>
            </w:pPr>
            <w:r>
              <w:rPr>
                <w:rFonts w:ascii="Times New Roman" w:hAnsi="宋体"/>
                <w:snapToGrid w:val="0"/>
                <w:color w:val="auto"/>
                <w:kern w:val="21"/>
                <w:szCs w:val="21"/>
                <w:lang w:val="en-US" w:eastAsia="zh-CN"/>
              </w:rPr>
              <w:t>一般工业</w:t>
            </w:r>
          </w:p>
          <w:p w14:paraId="13E658D5">
            <w:pPr>
              <w:pStyle w:val="22"/>
              <w:spacing w:beforeLines="0" w:afterLines="0" w:line="240" w:lineRule="auto"/>
              <w:rPr>
                <w:rFonts w:ascii="Times New Roman"/>
                <w:snapToGrid w:val="0"/>
                <w:color w:val="auto"/>
                <w:kern w:val="21"/>
                <w:szCs w:val="21"/>
                <w:lang w:val="en-US" w:eastAsia="zh-CN"/>
              </w:rPr>
            </w:pPr>
            <w:r>
              <w:rPr>
                <w:rFonts w:ascii="Times New Roman" w:hAnsi="宋体"/>
                <w:snapToGrid w:val="0"/>
                <w:color w:val="auto"/>
                <w:kern w:val="21"/>
                <w:szCs w:val="21"/>
                <w:lang w:val="en-US" w:eastAsia="zh-CN"/>
              </w:rPr>
              <w:t>固体废物</w:t>
            </w:r>
          </w:p>
        </w:tc>
        <w:tc>
          <w:tcPr>
            <w:tcW w:w="1843" w:type="dxa"/>
            <w:noWrap w:val="0"/>
            <w:vAlign w:val="center"/>
          </w:tcPr>
          <w:p w14:paraId="40501294">
            <w:pPr>
              <w:pStyle w:val="22"/>
              <w:spacing w:beforeLines="0" w:afterLines="0" w:line="240" w:lineRule="auto"/>
              <w:rPr>
                <w:rFonts w:ascii="Times New Roman"/>
                <w:snapToGrid w:val="0"/>
                <w:color w:val="auto"/>
                <w:kern w:val="21"/>
                <w:szCs w:val="21"/>
                <w:lang w:val="en-US" w:eastAsia="zh-CN"/>
              </w:rPr>
            </w:pPr>
            <w:r>
              <w:rPr>
                <w:rFonts w:ascii="Times New Roman" w:hAnsi="宋体"/>
                <w:snapToGrid w:val="0"/>
                <w:color w:val="auto"/>
                <w:kern w:val="21"/>
                <w:szCs w:val="21"/>
                <w:lang w:val="en-US" w:eastAsia="zh-CN"/>
              </w:rPr>
              <w:t>废</w:t>
            </w:r>
            <w:r>
              <w:rPr>
                <w:rFonts w:hint="eastAsia" w:ascii="Times New Roman" w:hAnsi="宋体"/>
                <w:snapToGrid w:val="0"/>
                <w:color w:val="auto"/>
                <w:kern w:val="21"/>
                <w:szCs w:val="21"/>
                <w:lang w:val="en-US" w:eastAsia="zh-CN"/>
              </w:rPr>
              <w:t>包装材料</w:t>
            </w:r>
          </w:p>
        </w:tc>
        <w:tc>
          <w:tcPr>
            <w:tcW w:w="1701" w:type="dxa"/>
            <w:noWrap w:val="0"/>
            <w:vAlign w:val="center"/>
          </w:tcPr>
          <w:p w14:paraId="4151ECB4">
            <w:pPr>
              <w:jc w:val="center"/>
              <w:rPr>
                <w:rFonts w:hint="eastAsia" w:eastAsia="宋体"/>
                <w:color w:val="auto"/>
                <w:lang w:eastAsia="zh-CN"/>
              </w:rPr>
            </w:pPr>
            <w:r>
              <w:rPr>
                <w:rFonts w:hint="eastAsia"/>
                <w:snapToGrid w:val="0"/>
                <w:color w:val="auto"/>
                <w:kern w:val="21"/>
                <w:szCs w:val="21"/>
                <w:lang w:val="en-US" w:eastAsia="zh-CN"/>
              </w:rPr>
              <w:t>0</w:t>
            </w:r>
          </w:p>
        </w:tc>
        <w:tc>
          <w:tcPr>
            <w:tcW w:w="1276" w:type="dxa"/>
            <w:noWrap w:val="0"/>
            <w:vAlign w:val="center"/>
          </w:tcPr>
          <w:p w14:paraId="6D0E55AF">
            <w:pPr>
              <w:jc w:val="center"/>
              <w:rPr>
                <w:color w:val="auto"/>
              </w:rPr>
            </w:pPr>
            <w:r>
              <w:rPr>
                <w:snapToGrid w:val="0"/>
                <w:color w:val="auto"/>
                <w:kern w:val="21"/>
                <w:szCs w:val="21"/>
              </w:rPr>
              <w:t>0</w:t>
            </w:r>
          </w:p>
        </w:tc>
        <w:tc>
          <w:tcPr>
            <w:tcW w:w="1701" w:type="dxa"/>
            <w:noWrap w:val="0"/>
            <w:vAlign w:val="center"/>
          </w:tcPr>
          <w:p w14:paraId="2BA397EE">
            <w:pPr>
              <w:jc w:val="center"/>
              <w:rPr>
                <w:color w:val="auto"/>
              </w:rPr>
            </w:pPr>
            <w:r>
              <w:rPr>
                <w:snapToGrid w:val="0"/>
                <w:color w:val="auto"/>
                <w:kern w:val="21"/>
                <w:szCs w:val="21"/>
              </w:rPr>
              <w:t>0</w:t>
            </w:r>
          </w:p>
        </w:tc>
        <w:tc>
          <w:tcPr>
            <w:tcW w:w="1559" w:type="dxa"/>
            <w:noWrap w:val="0"/>
            <w:vAlign w:val="center"/>
          </w:tcPr>
          <w:p w14:paraId="6FE9957B">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eastAsia="宋体"/>
                <w:color w:val="auto"/>
                <w:szCs w:val="21"/>
                <w:lang w:val="en-US" w:eastAsia="zh-CN"/>
              </w:rPr>
            </w:pPr>
            <w:r>
              <w:rPr>
                <w:rFonts w:hint="eastAsia"/>
                <w:color w:val="auto"/>
                <w:lang w:val="en-US" w:eastAsia="zh-CN"/>
              </w:rPr>
              <w:t>0.5</w:t>
            </w:r>
          </w:p>
        </w:tc>
        <w:tc>
          <w:tcPr>
            <w:tcW w:w="1761" w:type="dxa"/>
            <w:noWrap w:val="0"/>
            <w:vAlign w:val="center"/>
          </w:tcPr>
          <w:p w14:paraId="01E348CC">
            <w:pPr>
              <w:jc w:val="center"/>
              <w:rPr>
                <w:color w:val="auto"/>
              </w:rPr>
            </w:pPr>
            <w:r>
              <w:rPr>
                <w:snapToGrid w:val="0"/>
                <w:color w:val="auto"/>
                <w:kern w:val="21"/>
                <w:szCs w:val="21"/>
              </w:rPr>
              <w:t>0</w:t>
            </w:r>
          </w:p>
        </w:tc>
        <w:tc>
          <w:tcPr>
            <w:tcW w:w="1641" w:type="dxa"/>
            <w:noWrap w:val="0"/>
            <w:vAlign w:val="center"/>
          </w:tcPr>
          <w:p w14:paraId="5D0FE8D7">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color w:val="auto"/>
                <w:szCs w:val="21"/>
                <w:lang w:val="en-US"/>
              </w:rPr>
            </w:pPr>
            <w:r>
              <w:rPr>
                <w:rFonts w:hint="eastAsia"/>
                <w:color w:val="auto"/>
                <w:lang w:val="en-US" w:eastAsia="zh-CN"/>
              </w:rPr>
              <w:t>0.5</w:t>
            </w:r>
          </w:p>
        </w:tc>
        <w:tc>
          <w:tcPr>
            <w:tcW w:w="1144" w:type="dxa"/>
            <w:noWrap w:val="0"/>
            <w:vAlign w:val="center"/>
          </w:tcPr>
          <w:p w14:paraId="66884A85">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eastAsia="宋体"/>
                <w:color w:val="auto"/>
                <w:szCs w:val="21"/>
                <w:lang w:val="en-US" w:eastAsia="zh-CN"/>
              </w:rPr>
            </w:pPr>
            <w:r>
              <w:rPr>
                <w:rFonts w:hint="eastAsia"/>
                <w:color w:val="auto"/>
                <w:lang w:val="en-US" w:eastAsia="zh-CN"/>
              </w:rPr>
              <w:t>+0.5</w:t>
            </w:r>
          </w:p>
        </w:tc>
      </w:tr>
      <w:tr w14:paraId="0D33D8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62" w:type="dxa"/>
            <w:vMerge w:val="continue"/>
            <w:noWrap w:val="0"/>
            <w:vAlign w:val="center"/>
          </w:tcPr>
          <w:p w14:paraId="1BE1F527">
            <w:pPr>
              <w:pStyle w:val="22"/>
              <w:spacing w:beforeLines="0" w:afterLines="0" w:line="240" w:lineRule="auto"/>
              <w:rPr>
                <w:rFonts w:ascii="Times New Roman" w:hAnsi="宋体"/>
                <w:snapToGrid w:val="0"/>
                <w:color w:val="auto"/>
                <w:kern w:val="21"/>
                <w:szCs w:val="21"/>
                <w:lang w:val="en-US" w:eastAsia="zh-CN"/>
              </w:rPr>
            </w:pPr>
          </w:p>
        </w:tc>
        <w:tc>
          <w:tcPr>
            <w:tcW w:w="1843" w:type="dxa"/>
            <w:noWrap w:val="0"/>
            <w:vAlign w:val="center"/>
          </w:tcPr>
          <w:p w14:paraId="3C8A2991">
            <w:pPr>
              <w:pStyle w:val="22"/>
              <w:spacing w:beforeLines="0" w:afterLines="0" w:line="240" w:lineRule="auto"/>
              <w:rPr>
                <w:rFonts w:hint="default" w:ascii="Times New Roman" w:hAnsi="宋体"/>
                <w:snapToGrid w:val="0"/>
                <w:color w:val="auto"/>
                <w:kern w:val="21"/>
                <w:szCs w:val="21"/>
                <w:lang w:val="en-US" w:eastAsia="zh-CN"/>
              </w:rPr>
            </w:pPr>
            <w:r>
              <w:rPr>
                <w:rFonts w:hint="eastAsia" w:ascii="Times New Roman" w:hAnsi="宋体"/>
                <w:snapToGrid w:val="0"/>
                <w:color w:val="auto"/>
                <w:kern w:val="21"/>
                <w:szCs w:val="21"/>
                <w:lang w:val="en-US" w:eastAsia="zh-CN"/>
              </w:rPr>
              <w:t>不合格电池</w:t>
            </w:r>
          </w:p>
        </w:tc>
        <w:tc>
          <w:tcPr>
            <w:tcW w:w="1701" w:type="dxa"/>
            <w:noWrap w:val="0"/>
            <w:vAlign w:val="center"/>
          </w:tcPr>
          <w:p w14:paraId="5E99C975">
            <w:pPr>
              <w:jc w:val="center"/>
              <w:rPr>
                <w:rFonts w:hint="default"/>
                <w:snapToGrid w:val="0"/>
                <w:color w:val="auto"/>
                <w:kern w:val="21"/>
                <w:szCs w:val="21"/>
                <w:lang w:val="en-US" w:eastAsia="zh-CN"/>
              </w:rPr>
            </w:pPr>
            <w:r>
              <w:rPr>
                <w:rFonts w:hint="eastAsia"/>
                <w:snapToGrid w:val="0"/>
                <w:color w:val="auto"/>
                <w:kern w:val="21"/>
                <w:szCs w:val="21"/>
                <w:lang w:val="en-US" w:eastAsia="zh-CN"/>
              </w:rPr>
              <w:t>0</w:t>
            </w:r>
          </w:p>
        </w:tc>
        <w:tc>
          <w:tcPr>
            <w:tcW w:w="1276" w:type="dxa"/>
            <w:noWrap w:val="0"/>
            <w:vAlign w:val="center"/>
          </w:tcPr>
          <w:p w14:paraId="351EBC92">
            <w:pPr>
              <w:jc w:val="center"/>
              <w:rPr>
                <w:rFonts w:hint="eastAsia" w:eastAsia="宋体"/>
                <w:snapToGrid w:val="0"/>
                <w:color w:val="auto"/>
                <w:kern w:val="21"/>
                <w:szCs w:val="21"/>
                <w:lang w:val="en-US" w:eastAsia="zh-CN"/>
              </w:rPr>
            </w:pPr>
            <w:r>
              <w:rPr>
                <w:rFonts w:hint="eastAsia"/>
                <w:snapToGrid w:val="0"/>
                <w:color w:val="auto"/>
                <w:kern w:val="21"/>
                <w:szCs w:val="21"/>
                <w:lang w:val="en-US" w:eastAsia="zh-CN"/>
              </w:rPr>
              <w:t>0</w:t>
            </w:r>
          </w:p>
        </w:tc>
        <w:tc>
          <w:tcPr>
            <w:tcW w:w="1701" w:type="dxa"/>
            <w:noWrap w:val="0"/>
            <w:vAlign w:val="center"/>
          </w:tcPr>
          <w:p w14:paraId="341CE7B0">
            <w:pPr>
              <w:jc w:val="center"/>
              <w:rPr>
                <w:rFonts w:hint="eastAsia" w:eastAsia="宋体"/>
                <w:snapToGrid w:val="0"/>
                <w:color w:val="auto"/>
                <w:kern w:val="21"/>
                <w:szCs w:val="21"/>
                <w:lang w:val="en-US" w:eastAsia="zh-CN"/>
              </w:rPr>
            </w:pPr>
            <w:r>
              <w:rPr>
                <w:rFonts w:hint="eastAsia"/>
                <w:snapToGrid w:val="0"/>
                <w:color w:val="auto"/>
                <w:kern w:val="21"/>
                <w:szCs w:val="21"/>
                <w:lang w:val="en-US" w:eastAsia="zh-CN"/>
              </w:rPr>
              <w:t>0</w:t>
            </w:r>
          </w:p>
        </w:tc>
        <w:tc>
          <w:tcPr>
            <w:tcW w:w="1559" w:type="dxa"/>
            <w:noWrap w:val="0"/>
            <w:vAlign w:val="center"/>
          </w:tcPr>
          <w:p w14:paraId="6C832161">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default"/>
                <w:color w:val="auto"/>
                <w:szCs w:val="21"/>
                <w:lang w:val="en-US" w:eastAsia="zh-CN"/>
              </w:rPr>
            </w:pPr>
            <w:r>
              <w:rPr>
                <w:rFonts w:hint="eastAsia"/>
                <w:color w:val="auto"/>
                <w:lang w:val="en-US" w:eastAsia="zh-CN"/>
              </w:rPr>
              <w:t>0.181</w:t>
            </w:r>
          </w:p>
        </w:tc>
        <w:tc>
          <w:tcPr>
            <w:tcW w:w="1761" w:type="dxa"/>
            <w:noWrap w:val="0"/>
            <w:vAlign w:val="center"/>
          </w:tcPr>
          <w:p w14:paraId="56A40B72">
            <w:pPr>
              <w:jc w:val="center"/>
              <w:rPr>
                <w:rFonts w:hint="eastAsia" w:eastAsia="宋体"/>
                <w:snapToGrid w:val="0"/>
                <w:color w:val="auto"/>
                <w:kern w:val="21"/>
                <w:szCs w:val="21"/>
                <w:lang w:val="en-US" w:eastAsia="zh-CN"/>
              </w:rPr>
            </w:pPr>
            <w:r>
              <w:rPr>
                <w:rFonts w:hint="eastAsia"/>
                <w:snapToGrid w:val="0"/>
                <w:color w:val="auto"/>
                <w:kern w:val="21"/>
                <w:szCs w:val="21"/>
                <w:lang w:val="en-US" w:eastAsia="zh-CN"/>
              </w:rPr>
              <w:t>0</w:t>
            </w:r>
          </w:p>
        </w:tc>
        <w:tc>
          <w:tcPr>
            <w:tcW w:w="1641" w:type="dxa"/>
            <w:noWrap w:val="0"/>
            <w:vAlign w:val="center"/>
          </w:tcPr>
          <w:p w14:paraId="55BD669F">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color w:val="auto"/>
                <w:szCs w:val="21"/>
                <w:lang w:val="en-US" w:eastAsia="zh-CN"/>
              </w:rPr>
            </w:pPr>
            <w:r>
              <w:rPr>
                <w:rFonts w:hint="eastAsia"/>
                <w:color w:val="auto"/>
                <w:lang w:val="en-US" w:eastAsia="zh-CN"/>
              </w:rPr>
              <w:t>0.181</w:t>
            </w:r>
          </w:p>
        </w:tc>
        <w:tc>
          <w:tcPr>
            <w:tcW w:w="1144" w:type="dxa"/>
            <w:noWrap w:val="0"/>
            <w:vAlign w:val="center"/>
          </w:tcPr>
          <w:p w14:paraId="65F7F5E4">
            <w:pPr>
              <w:pStyle w:val="22"/>
              <w:keepNext w:val="0"/>
              <w:keepLines w:val="0"/>
              <w:pageBreakBefore w:val="0"/>
              <w:widowControl w:val="0"/>
              <w:kinsoku/>
              <w:wordWrap/>
              <w:overflowPunct/>
              <w:topLinePunct w:val="0"/>
              <w:autoSpaceDE/>
              <w:autoSpaceDN/>
              <w:bidi w:val="0"/>
              <w:adjustRightInd w:val="0"/>
              <w:snapToGrid w:val="0"/>
              <w:spacing w:before="0" w:beforeLines="0"/>
              <w:ind w:firstLine="0" w:firstLineChars="0"/>
              <w:jc w:val="center"/>
              <w:textAlignment w:val="auto"/>
              <w:rPr>
                <w:rFonts w:hint="eastAsia"/>
                <w:color w:val="auto"/>
                <w:szCs w:val="21"/>
                <w:lang w:val="en-US" w:eastAsia="zh-CN"/>
              </w:rPr>
            </w:pPr>
            <w:r>
              <w:rPr>
                <w:rFonts w:hint="eastAsia"/>
                <w:color w:val="auto"/>
                <w:lang w:val="en-US" w:eastAsia="zh-CN"/>
              </w:rPr>
              <w:t>+0.181</w:t>
            </w:r>
          </w:p>
        </w:tc>
      </w:tr>
    </w:tbl>
    <w:p w14:paraId="0E11F2F7">
      <w:pPr>
        <w:rPr>
          <w:rFonts w:hint="default"/>
          <w:lang w:val="en-US" w:eastAsia="zh-CN"/>
        </w:rPr>
      </w:pPr>
      <w:r>
        <w:rPr>
          <w:rFonts w:ascii="宋体" w:hAnsi="宋体" w:eastAsia="黑体"/>
          <w:color w:val="auto"/>
        </w:rPr>
        <w:t>注：</w:t>
      </w:r>
      <w:r>
        <w:rPr>
          <w:rFonts w:ascii="宋体" w:hAnsi="宋体" w:eastAsia="黑体"/>
          <w:color w:val="auto"/>
        </w:rPr>
        <w:fldChar w:fldCharType="begin"/>
      </w:r>
      <w:r>
        <w:rPr>
          <w:rFonts w:ascii="宋体" w:hAnsi="宋体" w:eastAsia="黑体"/>
          <w:color w:val="auto"/>
        </w:rPr>
        <w:instrText xml:space="preserve"> = 6 \* GB3 \* MERGEFORMAT </w:instrText>
      </w:r>
      <w:r>
        <w:rPr>
          <w:rFonts w:ascii="宋体" w:hAnsi="宋体" w:eastAsia="黑体"/>
          <w:color w:val="auto"/>
        </w:rPr>
        <w:fldChar w:fldCharType="separate"/>
      </w:r>
      <w:r>
        <w:rPr>
          <w:rFonts w:hint="eastAsia" w:ascii="宋体" w:hAnsi="宋体" w:eastAsia="黑体"/>
          <w:color w:val="auto"/>
        </w:rPr>
        <w:t>⑥</w:t>
      </w:r>
      <w:r>
        <w:rPr>
          <w:rFonts w:ascii="宋体" w:hAnsi="宋体" w:eastAsia="黑体"/>
          <w:color w:val="auto"/>
        </w:rPr>
        <w:fldChar w:fldCharType="end"/>
      </w:r>
      <w:r>
        <w:rPr>
          <w:rFonts w:ascii="宋体" w:hAnsi="宋体" w:eastAsia="黑体"/>
          <w:color w:val="auto"/>
        </w:rPr>
        <w:t>=</w:t>
      </w:r>
      <w:r>
        <w:rPr>
          <w:rFonts w:ascii="宋体" w:hAnsi="宋体" w:eastAsia="黑体"/>
          <w:color w:val="auto"/>
        </w:rPr>
        <w:fldChar w:fldCharType="begin"/>
      </w:r>
      <w:r>
        <w:rPr>
          <w:rFonts w:ascii="宋体" w:hAnsi="宋体" w:eastAsia="黑体"/>
          <w:color w:val="auto"/>
        </w:rPr>
        <w:instrText xml:space="preserve"> = 1 \* GB3 \* MERGEFORMAT </w:instrText>
      </w:r>
      <w:r>
        <w:rPr>
          <w:rFonts w:ascii="宋体" w:hAnsi="宋体" w:eastAsia="黑体"/>
          <w:color w:val="auto"/>
        </w:rPr>
        <w:fldChar w:fldCharType="separate"/>
      </w:r>
      <w:r>
        <w:rPr>
          <w:rFonts w:hint="eastAsia" w:ascii="宋体" w:hAnsi="宋体" w:eastAsia="黑体"/>
          <w:color w:val="auto"/>
        </w:rPr>
        <w:t>①</w:t>
      </w:r>
      <w:r>
        <w:rPr>
          <w:rFonts w:ascii="宋体" w:hAnsi="宋体" w:eastAsia="黑体"/>
          <w:color w:val="auto"/>
        </w:rPr>
        <w:fldChar w:fldCharType="end"/>
      </w:r>
      <w:r>
        <w:rPr>
          <w:rFonts w:ascii="宋体" w:hAnsi="宋体" w:eastAsia="黑体"/>
          <w:color w:val="auto"/>
        </w:rPr>
        <w:t>+</w:t>
      </w:r>
      <w:r>
        <w:rPr>
          <w:rFonts w:ascii="宋体" w:hAnsi="宋体" w:eastAsia="黑体"/>
          <w:color w:val="auto"/>
        </w:rPr>
        <w:fldChar w:fldCharType="begin"/>
      </w:r>
      <w:r>
        <w:rPr>
          <w:rFonts w:ascii="宋体" w:hAnsi="宋体" w:eastAsia="黑体"/>
          <w:color w:val="auto"/>
        </w:rPr>
        <w:instrText xml:space="preserve"> = 3 \* GB3 \* MERGEFORMAT </w:instrText>
      </w:r>
      <w:r>
        <w:rPr>
          <w:rFonts w:ascii="宋体" w:hAnsi="宋体" w:eastAsia="黑体"/>
          <w:color w:val="auto"/>
        </w:rPr>
        <w:fldChar w:fldCharType="separate"/>
      </w:r>
      <w:r>
        <w:rPr>
          <w:rFonts w:hint="eastAsia" w:ascii="宋体" w:hAnsi="宋体" w:eastAsia="黑体"/>
          <w:color w:val="auto"/>
        </w:rPr>
        <w:t>③</w:t>
      </w:r>
      <w:r>
        <w:rPr>
          <w:rFonts w:ascii="宋体" w:hAnsi="宋体" w:eastAsia="黑体"/>
          <w:color w:val="auto"/>
        </w:rPr>
        <w:fldChar w:fldCharType="end"/>
      </w:r>
      <w:r>
        <w:rPr>
          <w:rFonts w:ascii="宋体" w:hAnsi="宋体" w:eastAsia="黑体"/>
          <w:color w:val="auto"/>
        </w:rPr>
        <w:t>+</w:t>
      </w:r>
      <w:r>
        <w:rPr>
          <w:rFonts w:ascii="宋体" w:hAnsi="宋体" w:eastAsia="黑体"/>
          <w:color w:val="auto"/>
        </w:rPr>
        <w:fldChar w:fldCharType="begin"/>
      </w:r>
      <w:r>
        <w:rPr>
          <w:rFonts w:ascii="宋体" w:hAnsi="宋体" w:eastAsia="黑体"/>
          <w:color w:val="auto"/>
        </w:rPr>
        <w:instrText xml:space="preserve"> = 4 \* GB3 \* MERGEFORMAT </w:instrText>
      </w:r>
      <w:r>
        <w:rPr>
          <w:rFonts w:ascii="宋体" w:hAnsi="宋体" w:eastAsia="黑体"/>
          <w:color w:val="auto"/>
        </w:rPr>
        <w:fldChar w:fldCharType="separate"/>
      </w:r>
      <w:r>
        <w:rPr>
          <w:rFonts w:hint="eastAsia" w:ascii="宋体" w:hAnsi="宋体" w:eastAsia="黑体"/>
          <w:color w:val="auto"/>
        </w:rPr>
        <w:t>④</w:t>
      </w:r>
      <w:r>
        <w:rPr>
          <w:rFonts w:ascii="宋体" w:hAnsi="宋体" w:eastAsia="黑体"/>
          <w:color w:val="auto"/>
        </w:rPr>
        <w:fldChar w:fldCharType="end"/>
      </w:r>
      <w:r>
        <w:rPr>
          <w:rFonts w:ascii="宋体" w:hAnsi="宋体" w:eastAsia="黑体"/>
          <w:color w:val="auto"/>
        </w:rPr>
        <w:t>-</w:t>
      </w:r>
      <w:r>
        <w:rPr>
          <w:rFonts w:ascii="宋体" w:hAnsi="宋体" w:eastAsia="黑体"/>
          <w:color w:val="auto"/>
        </w:rPr>
        <w:fldChar w:fldCharType="begin"/>
      </w:r>
      <w:r>
        <w:rPr>
          <w:rFonts w:ascii="宋体" w:hAnsi="宋体" w:eastAsia="黑体"/>
          <w:color w:val="auto"/>
        </w:rPr>
        <w:instrText xml:space="preserve"> = 5 \* GB3 \* MERGEFORMAT </w:instrText>
      </w:r>
      <w:r>
        <w:rPr>
          <w:rFonts w:ascii="宋体" w:hAnsi="宋体" w:eastAsia="黑体"/>
          <w:color w:val="auto"/>
        </w:rPr>
        <w:fldChar w:fldCharType="separate"/>
      </w:r>
      <w:r>
        <w:rPr>
          <w:rFonts w:hint="eastAsia" w:ascii="宋体" w:hAnsi="宋体" w:eastAsia="黑体"/>
          <w:color w:val="auto"/>
        </w:rPr>
        <w:t>⑤</w:t>
      </w:r>
      <w:r>
        <w:rPr>
          <w:rFonts w:ascii="宋体" w:hAnsi="宋体" w:eastAsia="黑体"/>
          <w:color w:val="auto"/>
        </w:rPr>
        <w:fldChar w:fldCharType="end"/>
      </w:r>
      <w:r>
        <w:rPr>
          <w:rFonts w:ascii="宋体" w:hAnsi="宋体" w:eastAsia="黑体"/>
          <w:color w:val="auto"/>
        </w:rPr>
        <w:t>；</w:t>
      </w:r>
      <w:r>
        <w:rPr>
          <w:rFonts w:ascii="宋体" w:hAnsi="宋体" w:eastAsia="黑体"/>
          <w:color w:val="auto"/>
        </w:rPr>
        <w:fldChar w:fldCharType="begin"/>
      </w:r>
      <w:r>
        <w:rPr>
          <w:rFonts w:ascii="宋体" w:hAnsi="宋体" w:eastAsia="黑体"/>
          <w:color w:val="auto"/>
        </w:rPr>
        <w:instrText xml:space="preserve"> = 7 \* GB3 \* MERGEFORMAT </w:instrText>
      </w:r>
      <w:r>
        <w:rPr>
          <w:rFonts w:ascii="宋体" w:hAnsi="宋体" w:eastAsia="黑体"/>
          <w:color w:val="auto"/>
        </w:rPr>
        <w:fldChar w:fldCharType="separate"/>
      </w:r>
      <w:r>
        <w:rPr>
          <w:rFonts w:hint="eastAsia" w:ascii="宋体" w:hAnsi="宋体" w:eastAsia="黑体"/>
          <w:color w:val="auto"/>
        </w:rPr>
        <w:t>⑦</w:t>
      </w:r>
      <w:r>
        <w:rPr>
          <w:rFonts w:ascii="宋体" w:hAnsi="宋体" w:eastAsia="黑体"/>
          <w:color w:val="auto"/>
        </w:rPr>
        <w:fldChar w:fldCharType="end"/>
      </w:r>
      <w:r>
        <w:rPr>
          <w:rFonts w:ascii="宋体" w:hAnsi="宋体" w:eastAsia="黑体"/>
          <w:color w:val="auto"/>
        </w:rPr>
        <w:t>=</w:t>
      </w:r>
      <w:r>
        <w:rPr>
          <w:rFonts w:ascii="宋体" w:hAnsi="宋体" w:eastAsia="黑体"/>
          <w:color w:val="auto"/>
        </w:rPr>
        <w:fldChar w:fldCharType="begin"/>
      </w:r>
      <w:r>
        <w:rPr>
          <w:rFonts w:ascii="宋体" w:hAnsi="宋体" w:eastAsia="黑体"/>
          <w:color w:val="auto"/>
        </w:rPr>
        <w:instrText xml:space="preserve"> = 6 \* GB3 \* MERGEFORMAT </w:instrText>
      </w:r>
      <w:r>
        <w:rPr>
          <w:rFonts w:ascii="宋体" w:hAnsi="宋体" w:eastAsia="黑体"/>
          <w:color w:val="auto"/>
        </w:rPr>
        <w:fldChar w:fldCharType="separate"/>
      </w:r>
      <w:r>
        <w:rPr>
          <w:rFonts w:hint="eastAsia" w:ascii="宋体" w:hAnsi="宋体" w:eastAsia="黑体"/>
          <w:color w:val="auto"/>
        </w:rPr>
        <w:t>⑥</w:t>
      </w:r>
      <w:r>
        <w:rPr>
          <w:rFonts w:ascii="宋体" w:hAnsi="宋体" w:eastAsia="黑体"/>
          <w:color w:val="auto"/>
        </w:rPr>
        <w:fldChar w:fldCharType="end"/>
      </w:r>
      <w:r>
        <w:rPr>
          <w:rFonts w:ascii="宋体" w:hAnsi="宋体" w:eastAsia="黑体"/>
          <w:color w:val="auto"/>
        </w:rPr>
        <w:t>-</w:t>
      </w:r>
      <w:r>
        <w:rPr>
          <w:rFonts w:ascii="宋体" w:hAnsi="宋体" w:eastAsia="黑体"/>
          <w:color w:val="auto"/>
        </w:rPr>
        <w:fldChar w:fldCharType="begin"/>
      </w:r>
      <w:r>
        <w:rPr>
          <w:rFonts w:ascii="宋体" w:hAnsi="宋体" w:eastAsia="黑体"/>
          <w:color w:val="auto"/>
        </w:rPr>
        <w:instrText xml:space="preserve"> = 1 \* GB3 \* MERGEFORMAT </w:instrText>
      </w:r>
      <w:r>
        <w:rPr>
          <w:rFonts w:ascii="宋体" w:hAnsi="宋体" w:eastAsia="黑体"/>
          <w:color w:val="auto"/>
        </w:rPr>
        <w:fldChar w:fldCharType="separate"/>
      </w:r>
      <w:r>
        <w:rPr>
          <w:rFonts w:hint="eastAsia" w:ascii="宋体" w:hAnsi="宋体" w:eastAsia="黑体"/>
          <w:color w:val="auto"/>
        </w:rPr>
        <w:t>①</w:t>
      </w:r>
      <w:r>
        <w:rPr>
          <w:rFonts w:ascii="宋体" w:hAnsi="宋体" w:eastAsia="黑体"/>
          <w:color w:val="auto"/>
        </w:rPr>
        <w:fldChar w:fldCharType="end"/>
      </w:r>
      <w:bookmarkStart w:id="4" w:name="_GoBack"/>
      <w:bookmarkEnd w:id="4"/>
    </w:p>
    <w:sectPr>
      <w:footerReference r:id="rId4"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4D3A65-9448-42C0-AF70-56CB84799B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Arial Unicode MS"/>
    <w:panose1 w:val="02000000000000000000"/>
    <w:charset w:val="86"/>
    <w:family w:val="script"/>
    <w:pitch w:val="default"/>
    <w:sig w:usb0="00000000" w:usb1="00000000" w:usb2="00000012" w:usb3="00000000" w:csb0="00040001" w:csb1="00000000"/>
  </w:font>
  <w:font w:name="Wingdings 2">
    <w:panose1 w:val="05020102010507070707"/>
    <w:charset w:val="02"/>
    <w:family w:val="auto"/>
    <w:pitch w:val="default"/>
    <w:sig w:usb0="00000000" w:usb1="00000000" w:usb2="00000000" w:usb3="00000000" w:csb0="80000000" w:csb1="00000000"/>
    <w:embedRegular r:id="rId2" w:fontKey="{F6BADBF4-1269-40B6-9629-E936BC969E6E}"/>
  </w:font>
  <w:font w:name="TimesNewRomanPSMT">
    <w:altName w:val="Times New Roman"/>
    <w:panose1 w:val="00000000000000000000"/>
    <w:charset w:val="00"/>
    <w:family w:val="auto"/>
    <w:pitch w:val="default"/>
    <w:sig w:usb0="00000000" w:usb1="00000000" w:usb2="00000000" w:usb3="00000000" w:csb0="00000000" w:csb1="00000000"/>
    <w:embedRegular r:id="rId3" w:fontKey="{11B6A856-CA06-4F00-975A-902655095E45}"/>
  </w:font>
  <w:font w:name="仿宋">
    <w:panose1 w:val="02010609060101010101"/>
    <w:charset w:val="86"/>
    <w:family w:val="auto"/>
    <w:pitch w:val="default"/>
    <w:sig w:usb0="800002BF" w:usb1="38CF7CFA" w:usb2="00000016" w:usb3="00000000" w:csb0="00040001" w:csb1="00000000"/>
    <w:embedRegular r:id="rId4" w:fontKey="{3A8A15B3-9643-4B7B-B01C-46C891FDF122}"/>
  </w:font>
  <w:font w:name="微软雅黑">
    <w:panose1 w:val="020B0503020204020204"/>
    <w:charset w:val="86"/>
    <w:family w:val="auto"/>
    <w:pitch w:val="default"/>
    <w:sig w:usb0="80000287" w:usb1="2ACF3C50" w:usb2="00000016" w:usb3="00000000" w:csb0="0004001F" w:csb1="00000000"/>
    <w:embedRegular r:id="rId5" w:fontKey="{0533CE6E-6518-436C-9064-608446289223}"/>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FEA73">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13E25">
                          <w:pPr>
                            <w:pStyle w:val="13"/>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7FB13E25">
                    <w:pPr>
                      <w:pStyle w:val="13"/>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3432">
    <w:pPr>
      <w:pStyle w:val="13"/>
      <w:ind w:right="360" w:firstLine="360"/>
      <w:jc w:val="center"/>
      <w:rPr>
        <w:rFonts w:hint="default"/>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D9B1CA"/>
    <w:multiLevelType w:val="singleLevel"/>
    <w:tmpl w:val="79D9B1CA"/>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57D81"/>
    <w:rsid w:val="075961A2"/>
    <w:rsid w:val="07D8088C"/>
    <w:rsid w:val="08862D45"/>
    <w:rsid w:val="08B51480"/>
    <w:rsid w:val="0CC311CB"/>
    <w:rsid w:val="0D733051"/>
    <w:rsid w:val="103A670E"/>
    <w:rsid w:val="10EB338B"/>
    <w:rsid w:val="114009C1"/>
    <w:rsid w:val="121A05A5"/>
    <w:rsid w:val="13182D37"/>
    <w:rsid w:val="137361BF"/>
    <w:rsid w:val="16AE1F94"/>
    <w:rsid w:val="1739327C"/>
    <w:rsid w:val="17416EF8"/>
    <w:rsid w:val="1A2B60A0"/>
    <w:rsid w:val="1C444B9D"/>
    <w:rsid w:val="1CC100E8"/>
    <w:rsid w:val="1F6E3CDF"/>
    <w:rsid w:val="204134C4"/>
    <w:rsid w:val="23A128D5"/>
    <w:rsid w:val="244A6BDF"/>
    <w:rsid w:val="2481281C"/>
    <w:rsid w:val="24B92CC2"/>
    <w:rsid w:val="274E4B21"/>
    <w:rsid w:val="277327DA"/>
    <w:rsid w:val="28551EE0"/>
    <w:rsid w:val="28AA3FD9"/>
    <w:rsid w:val="294865A2"/>
    <w:rsid w:val="2A73664D"/>
    <w:rsid w:val="2CBD196A"/>
    <w:rsid w:val="2EE11968"/>
    <w:rsid w:val="316B4522"/>
    <w:rsid w:val="3454129D"/>
    <w:rsid w:val="355E0625"/>
    <w:rsid w:val="3598736F"/>
    <w:rsid w:val="35C557C9"/>
    <w:rsid w:val="36D466C5"/>
    <w:rsid w:val="37301F83"/>
    <w:rsid w:val="37474EF3"/>
    <w:rsid w:val="38797B59"/>
    <w:rsid w:val="398524C9"/>
    <w:rsid w:val="3DE534A3"/>
    <w:rsid w:val="3E773758"/>
    <w:rsid w:val="42927B60"/>
    <w:rsid w:val="43AC0629"/>
    <w:rsid w:val="4534216F"/>
    <w:rsid w:val="460A5C60"/>
    <w:rsid w:val="46BC0937"/>
    <w:rsid w:val="481A1506"/>
    <w:rsid w:val="48C77739"/>
    <w:rsid w:val="490762B6"/>
    <w:rsid w:val="4A05068C"/>
    <w:rsid w:val="4A43478D"/>
    <w:rsid w:val="4B692E0F"/>
    <w:rsid w:val="4CE41429"/>
    <w:rsid w:val="4EF13E61"/>
    <w:rsid w:val="512D1D67"/>
    <w:rsid w:val="51A73A24"/>
    <w:rsid w:val="521D4C9B"/>
    <w:rsid w:val="52C8137C"/>
    <w:rsid w:val="5490257E"/>
    <w:rsid w:val="549425F5"/>
    <w:rsid w:val="562231A2"/>
    <w:rsid w:val="562B5EAA"/>
    <w:rsid w:val="5AF102AB"/>
    <w:rsid w:val="5BD241F1"/>
    <w:rsid w:val="5C3B496D"/>
    <w:rsid w:val="5D3F048D"/>
    <w:rsid w:val="60365B77"/>
    <w:rsid w:val="625F6424"/>
    <w:rsid w:val="64D724A4"/>
    <w:rsid w:val="64FD4EB5"/>
    <w:rsid w:val="65A7504F"/>
    <w:rsid w:val="65F800DA"/>
    <w:rsid w:val="6AC57FB5"/>
    <w:rsid w:val="6B52582F"/>
    <w:rsid w:val="6DC9002B"/>
    <w:rsid w:val="6F0D3F47"/>
    <w:rsid w:val="6F4D4C8B"/>
    <w:rsid w:val="710812D5"/>
    <w:rsid w:val="733777E5"/>
    <w:rsid w:val="77AD6983"/>
    <w:rsid w:val="77C80759"/>
    <w:rsid w:val="782567A5"/>
    <w:rsid w:val="78561266"/>
    <w:rsid w:val="7C0D37D8"/>
    <w:rsid w:val="7E483DCB"/>
    <w:rsid w:val="7E6F6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qFormat="1"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宋体" w:cs="Times New Roman"/>
      <w:sz w:val="24"/>
      <w:szCs w:val="22"/>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style>
  <w:style w:type="paragraph" w:styleId="7">
    <w:name w:val="caption"/>
    <w:basedOn w:val="1"/>
    <w:next w:val="1"/>
    <w:unhideWhenUsed/>
    <w:qFormat/>
    <w:uiPriority w:val="0"/>
    <w:pPr>
      <w:spacing w:line="360" w:lineRule="auto"/>
      <w:ind w:firstLine="0" w:firstLineChars="0"/>
      <w:jc w:val="center"/>
    </w:pPr>
    <w:rPr>
      <w:rFonts w:ascii="Times New Roman" w:hAnsi="Times New Roman" w:eastAsia="宋体"/>
      <w:b/>
    </w:rPr>
  </w:style>
  <w:style w:type="paragraph" w:styleId="8">
    <w:name w:val="annotation text"/>
    <w:basedOn w:val="1"/>
    <w:semiHidden/>
    <w:qFormat/>
    <w:uiPriority w:val="0"/>
    <w:pPr>
      <w:jc w:val="left"/>
    </w:pPr>
    <w:rPr>
      <w:kern w:val="0"/>
      <w:sz w:val="24"/>
      <w:szCs w:val="20"/>
    </w:rPr>
  </w:style>
  <w:style w:type="paragraph" w:styleId="9">
    <w:name w:val="Body Text"/>
    <w:basedOn w:val="1"/>
    <w:qFormat/>
    <w:uiPriority w:val="0"/>
    <w:pPr>
      <w:widowControl/>
      <w:snapToGrid w:val="0"/>
      <w:spacing w:before="60" w:after="160" w:line="259" w:lineRule="auto"/>
      <w:ind w:right="113"/>
    </w:pPr>
    <w:rPr>
      <w:kern w:val="0"/>
      <w:sz w:val="18"/>
      <w:szCs w:val="20"/>
    </w:rPr>
  </w:style>
  <w:style w:type="paragraph" w:styleId="10">
    <w:name w:val="Block Text"/>
    <w:basedOn w:val="1"/>
    <w:qFormat/>
    <w:uiPriority w:val="0"/>
    <w:pPr>
      <w:ind w:left="100" w:right="100" w:firstLine="425"/>
    </w:pPr>
    <w:rPr>
      <w:szCs w:val="20"/>
    </w:rPr>
  </w:style>
  <w:style w:type="paragraph" w:styleId="11">
    <w:name w:val="Plain Text"/>
    <w:basedOn w:val="1"/>
    <w:qFormat/>
    <w:uiPriority w:val="0"/>
    <w:rPr>
      <w:rFonts w:ascii="宋体" w:hAnsi="Courier New" w:cs="Courier New"/>
      <w:szCs w:val="21"/>
    </w:rPr>
  </w:style>
  <w:style w:type="paragraph" w:styleId="12">
    <w:name w:val="Body Text Indent 2"/>
    <w:basedOn w:val="1"/>
    <w:next w:val="1"/>
    <w:qFormat/>
    <w:uiPriority w:val="99"/>
    <w:pPr>
      <w:spacing w:after="120" w:afterLines="0" w:line="480" w:lineRule="auto"/>
      <w:ind w:left="420" w:leftChars="200"/>
    </w:pPr>
  </w:style>
  <w:style w:type="paragraph" w:styleId="13">
    <w:name w:val="footer"/>
    <w:basedOn w:val="1"/>
    <w:qFormat/>
    <w:uiPriority w:val="99"/>
    <w:pPr>
      <w:tabs>
        <w:tab w:val="center" w:pos="4153"/>
        <w:tab w:val="right" w:pos="8306"/>
      </w:tabs>
      <w:snapToGrid w:val="0"/>
      <w:jc w:val="left"/>
    </w:pPr>
    <w:rPr>
      <w:kern w:val="0"/>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2"/>
    <w:basedOn w:val="1"/>
    <w:next w:val="1"/>
    <w:unhideWhenUsed/>
    <w:qFormat/>
    <w:uiPriority w:val="0"/>
    <w:pPr>
      <w:spacing w:beforeLines="0" w:afterLines="0"/>
      <w:ind w:left="280"/>
      <w:jc w:val="left"/>
    </w:pPr>
    <w:rPr>
      <w:rFonts w:hint="default"/>
      <w:smallCaps/>
      <w:snapToGrid w:val="0"/>
      <w:kern w:val="0"/>
      <w:sz w:val="20"/>
      <w:szCs w:val="24"/>
    </w:rPr>
  </w:style>
  <w:style w:type="paragraph" w:styleId="16">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u w:val="single"/>
    </w:rPr>
  </w:style>
  <w:style w:type="paragraph" w:customStyle="1" w:styleId="21">
    <w:name w:val="段落"/>
    <w:basedOn w:val="11"/>
    <w:autoRedefine/>
    <w:qFormat/>
    <w:uiPriority w:val="0"/>
    <w:pPr>
      <w:spacing w:line="480" w:lineRule="exact"/>
      <w:ind w:firstLine="578"/>
    </w:pPr>
    <w:rPr>
      <w:rFonts w:cs="Times New Roman"/>
      <w:sz w:val="28"/>
      <w:szCs w:val="28"/>
    </w:rPr>
  </w:style>
  <w:style w:type="paragraph" w:customStyle="1" w:styleId="22">
    <w:name w:val="表格"/>
    <w:basedOn w:val="6"/>
    <w:next w:val="1"/>
    <w:autoRedefine/>
    <w:qFormat/>
    <w:uiPriority w:val="0"/>
    <w:pPr>
      <w:adjustRightInd w:val="0"/>
      <w:snapToGrid w:val="0"/>
      <w:spacing w:line="240" w:lineRule="auto"/>
      <w:ind w:firstLine="0" w:firstLineChars="0"/>
      <w:jc w:val="center"/>
    </w:pPr>
    <w:rPr>
      <w:kern w:val="0"/>
      <w:sz w:val="21"/>
      <w:szCs w:val="21"/>
    </w:rPr>
  </w:style>
  <w:style w:type="paragraph" w:customStyle="1" w:styleId="23">
    <w:name w:val="样式 小四 行距: 固定值 24 磅"/>
    <w:basedOn w:val="1"/>
    <w:qFormat/>
    <w:uiPriority w:val="0"/>
    <w:pPr>
      <w:adjustRightInd w:val="0"/>
      <w:snapToGrid w:val="0"/>
      <w:spacing w:line="360" w:lineRule="auto"/>
      <w:ind w:firstLine="200" w:firstLineChars="200"/>
    </w:pPr>
    <w:rPr>
      <w:sz w:val="24"/>
      <w:szCs w:val="20"/>
    </w:rPr>
  </w:style>
  <w:style w:type="paragraph" w:customStyle="1" w:styleId="24">
    <w:name w:val="Table Paragraph"/>
    <w:basedOn w:val="1"/>
    <w:qFormat/>
    <w:uiPriority w:val="1"/>
    <w:pPr>
      <w:widowControl/>
      <w:jc w:val="left"/>
    </w:pPr>
    <w:rPr>
      <w:rFonts w:ascii="Calibri" w:hAnsi="Calibri" w:cs="宋体"/>
      <w:kern w:val="0"/>
      <w:sz w:val="22"/>
      <w:szCs w:val="22"/>
    </w:rPr>
  </w:style>
  <w:style w:type="paragraph" w:customStyle="1" w:styleId="25">
    <w:name w:val="中文报告书样式"/>
    <w:basedOn w:val="1"/>
    <w:qFormat/>
    <w:uiPriority w:val="0"/>
    <w:pPr>
      <w:adjustRightInd w:val="0"/>
      <w:spacing w:line="480" w:lineRule="atLeast"/>
      <w:ind w:firstLine="482"/>
      <w:textAlignment w:val="baseline"/>
    </w:pPr>
    <w:rPr>
      <w:kern w:val="24"/>
      <w:sz w:val="24"/>
      <w:szCs w:val="20"/>
    </w:rPr>
  </w:style>
  <w:style w:type="paragraph" w:customStyle="1" w:styleId="26">
    <w:name w:val="Default"/>
    <w:next w:val="2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7">
    <w:name w:val="样式35"/>
    <w:basedOn w:val="1"/>
    <w:next w:val="1"/>
    <w:qFormat/>
    <w:uiPriority w:val="0"/>
    <w:pPr>
      <w:spacing w:line="312" w:lineRule="auto"/>
      <w:ind w:firstLine="567"/>
    </w:pPr>
    <w:rPr>
      <w:rFonts w:ascii="宋体"/>
      <w:sz w:val="28"/>
    </w:rPr>
  </w:style>
  <w:style w:type="paragraph" w:customStyle="1" w:styleId="28">
    <w:name w:val="表内"/>
    <w:basedOn w:val="15"/>
    <w:autoRedefine/>
    <w:unhideWhenUsed/>
    <w:qFormat/>
    <w:uiPriority w:val="0"/>
    <w:pPr>
      <w:tabs>
        <w:tab w:val="right" w:leader="dot" w:pos="8296"/>
      </w:tabs>
      <w:spacing w:beforeLines="0" w:afterLines="0"/>
      <w:ind w:left="0"/>
      <w:jc w:val="center"/>
    </w:pPr>
    <w:rPr>
      <w:rFonts w:hint="default" w:ascii="Times New Roman" w:hAnsi="Times New Roman" w:eastAsia="宋体"/>
      <w:smallCaps w:val="0"/>
      <w:sz w:val="21"/>
      <w:szCs w:val="24"/>
    </w:rPr>
  </w:style>
  <w:style w:type="paragraph" w:customStyle="1" w:styleId="29">
    <w:name w:val="LP表格-RED"/>
    <w:autoRedefine/>
    <w:qFormat/>
    <w:uiPriority w:val="0"/>
    <w:pPr>
      <w:jc w:val="center"/>
    </w:pPr>
    <w:rPr>
      <w:rFonts w:ascii="方正大标宋简体" w:hAnsi="方正大标宋简体" w:eastAsia="宋体" w:cs="Times New Roman"/>
      <w:kern w:val="2"/>
      <w:sz w:val="21"/>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1.bin"/><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18493</Words>
  <Characters>19354</Characters>
  <Lines>0</Lines>
  <Paragraphs>0</Paragraphs>
  <TotalTime>1</TotalTime>
  <ScaleCrop>false</ScaleCrop>
  <LinksUpToDate>false</LinksUpToDate>
  <CharactersWithSpaces>20598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2025-11-24T03:18:00Z</dcterms:created>
  <dc:creator>Administrator</dc:creator>
  <cp:lastModifiedBy>新乡市译洋环境</cp:lastModifiedBy>
  <cp:lastPrinted>2026-05-27T03:47:00Z</cp:lastPrinted>
  <dcterms:modified xsi:type="dcterms:W3CDTF">2026-07-09T10:58:45Z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285633B9F5A24CE996604F87AF7CB0CE_13</vt:lpwstr>
  </property>
  <property fmtid="{D5CDD505-2E9C-101B-9397-08002B2CF9AE}" pid="4" name="KSOTemplateDocerSaveRecord">
    <vt:lpwstr>eyJoZGlkIjoiMmE1ODk4Y2IzZDNkNDQ3MjM5YjA4NTI4OWNjNTYxMmQiLCJ1c2VySWQiOiIxNTYxMTU0MzU1In0=</vt:lpwstr>
  </property>
</Properties>
</file>