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2505"/>
          <w:tab w:val="center" w:pos="6718"/>
        </w:tabs>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sz w:val="44"/>
          <w:szCs w:val="44"/>
          <w:highlight w:val="none"/>
        </w:rPr>
      </w:pPr>
      <w:bookmarkStart w:id="1" w:name="_GoBack"/>
      <w:bookmarkEnd w:id="1"/>
      <w:r>
        <w:rPr>
          <w:rFonts w:hint="eastAsia" w:ascii="方正小标宋简体" w:hAnsi="方正小标宋简体" w:eastAsia="方正小标宋简体" w:cs="方正小标宋简体"/>
          <w:b w:val="0"/>
          <w:bCs/>
          <w:sz w:val="44"/>
          <w:szCs w:val="44"/>
          <w:highlight w:val="none"/>
        </w:rPr>
        <w:t>延津县</w:t>
      </w:r>
      <w:r>
        <w:rPr>
          <w:rFonts w:hint="eastAsia" w:ascii="方正小标宋简体" w:hAnsi="方正小标宋简体" w:eastAsia="方正小标宋简体" w:cs="方正小标宋简体"/>
          <w:b w:val="0"/>
          <w:bCs/>
          <w:sz w:val="44"/>
          <w:szCs w:val="44"/>
          <w:highlight w:val="none"/>
          <w:lang w:val="en-US" w:eastAsia="zh-CN"/>
        </w:rPr>
        <w:t>自然</w:t>
      </w:r>
      <w:r>
        <w:rPr>
          <w:rFonts w:hint="eastAsia" w:ascii="方正小标宋简体" w:hAnsi="方正小标宋简体" w:eastAsia="方正小标宋简体" w:cs="方正小标宋简体"/>
          <w:b w:val="0"/>
          <w:bCs/>
          <w:sz w:val="44"/>
          <w:szCs w:val="44"/>
          <w:highlight w:val="none"/>
        </w:rPr>
        <w:t>资源局</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sz w:val="44"/>
          <w:szCs w:val="44"/>
          <w:highlight w:val="none"/>
        </w:rPr>
      </w:pPr>
      <w:r>
        <w:rPr>
          <w:rFonts w:hint="eastAsia" w:ascii="方正小标宋简体" w:hAnsi="方正小标宋简体" w:eastAsia="方正小标宋简体" w:cs="方正小标宋简体"/>
          <w:b w:val="0"/>
          <w:bCs/>
          <w:sz w:val="44"/>
          <w:szCs w:val="44"/>
          <w:highlight w:val="none"/>
        </w:rPr>
        <w:t>国有建设用地使用权</w:t>
      </w:r>
      <w:r>
        <w:rPr>
          <w:rFonts w:hint="eastAsia" w:ascii="方正小标宋简体" w:hAnsi="方正小标宋简体" w:eastAsia="方正小标宋简体" w:cs="方正小标宋简体"/>
          <w:bCs/>
          <w:sz w:val="48"/>
          <w:szCs w:val="48"/>
          <w:lang w:val="en-US" w:eastAsia="zh-CN"/>
        </w:rPr>
        <w:t>（工业用地“标准地”）</w:t>
      </w:r>
      <w:r>
        <w:rPr>
          <w:rFonts w:hint="eastAsia" w:ascii="方正小标宋简体" w:hAnsi="方正小标宋简体" w:eastAsia="方正小标宋简体" w:cs="方正小标宋简体"/>
          <w:b w:val="0"/>
          <w:bCs/>
          <w:sz w:val="44"/>
          <w:szCs w:val="44"/>
          <w:highlight w:val="none"/>
        </w:rPr>
        <w:t>挂牌出让公告</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华文楷体" w:hAnsi="华文楷体" w:eastAsia="华文楷体" w:cs="华文楷体"/>
          <w:b w:val="0"/>
          <w:bCs/>
          <w:sz w:val="32"/>
          <w:szCs w:val="32"/>
          <w:highlight w:val="none"/>
        </w:rPr>
      </w:pPr>
      <w:r>
        <w:rPr>
          <w:rFonts w:hint="eastAsia" w:ascii="方正楷体_GBK" w:hAnsi="方正楷体_GBK" w:eastAsia="方正楷体_GBK" w:cs="方正楷体_GBK"/>
          <w:b w:val="0"/>
          <w:bCs/>
          <w:sz w:val="32"/>
          <w:szCs w:val="32"/>
          <w:highlight w:val="none"/>
        </w:rPr>
        <w:t>延</w:t>
      </w:r>
      <w:r>
        <w:rPr>
          <w:rFonts w:hint="eastAsia" w:ascii="方正楷体_GBK" w:hAnsi="方正楷体_GBK" w:eastAsia="方正楷体_GBK" w:cs="方正楷体_GBK"/>
          <w:b w:val="0"/>
          <w:bCs/>
          <w:sz w:val="32"/>
          <w:szCs w:val="32"/>
          <w:highlight w:val="none"/>
          <w:lang w:val="en-US" w:eastAsia="zh-CN"/>
        </w:rPr>
        <w:t>自</w:t>
      </w:r>
      <w:r>
        <w:rPr>
          <w:rFonts w:hint="eastAsia" w:ascii="方正楷体_GBK" w:hAnsi="方正楷体_GBK" w:eastAsia="方正楷体_GBK" w:cs="方正楷体_GBK"/>
          <w:b w:val="0"/>
          <w:bCs/>
          <w:sz w:val="32"/>
          <w:szCs w:val="32"/>
          <w:highlight w:val="none"/>
        </w:rPr>
        <w:t>告字〔</w:t>
      </w:r>
      <w:r>
        <w:rPr>
          <w:rFonts w:hint="eastAsia" w:ascii="方正楷体_GBK" w:hAnsi="方正楷体_GBK" w:eastAsia="方正楷体_GBK" w:cs="方正楷体_GBK"/>
          <w:b w:val="0"/>
          <w:bCs/>
          <w:sz w:val="32"/>
          <w:szCs w:val="32"/>
          <w:highlight w:val="none"/>
          <w:lang w:eastAsia="zh-CN"/>
        </w:rPr>
        <w:t>202</w:t>
      </w:r>
      <w:r>
        <w:rPr>
          <w:rFonts w:hint="eastAsia" w:ascii="方正楷体_GBK" w:hAnsi="方正楷体_GBK" w:eastAsia="方正楷体_GBK" w:cs="方正楷体_GBK"/>
          <w:b w:val="0"/>
          <w:bCs/>
          <w:sz w:val="32"/>
          <w:szCs w:val="32"/>
          <w:highlight w:val="none"/>
          <w:lang w:val="en-US" w:eastAsia="zh-CN"/>
        </w:rPr>
        <w:t>6</w:t>
      </w:r>
      <w:r>
        <w:rPr>
          <w:rFonts w:hint="eastAsia" w:ascii="方正楷体_GBK" w:hAnsi="方正楷体_GBK" w:eastAsia="方正楷体_GBK" w:cs="方正楷体_GBK"/>
          <w:b w:val="0"/>
          <w:bCs/>
          <w:sz w:val="32"/>
          <w:szCs w:val="32"/>
          <w:highlight w:val="none"/>
        </w:rPr>
        <w:t>〕</w:t>
      </w:r>
      <w:r>
        <w:rPr>
          <w:rFonts w:hint="eastAsia" w:ascii="方正楷体_GBK" w:hAnsi="方正楷体_GBK" w:eastAsia="方正楷体_GBK" w:cs="方正楷体_GBK"/>
          <w:b w:val="0"/>
          <w:bCs/>
          <w:sz w:val="32"/>
          <w:szCs w:val="32"/>
          <w:highlight w:val="none"/>
          <w:lang w:val="en-US" w:eastAsia="zh-CN"/>
        </w:rPr>
        <w:t>03</w:t>
      </w:r>
      <w:r>
        <w:rPr>
          <w:rFonts w:hint="eastAsia" w:ascii="方正楷体_GBK" w:hAnsi="方正楷体_GBK" w:eastAsia="方正楷体_GBK" w:cs="方正楷体_GBK"/>
          <w:b w:val="0"/>
          <w:bCs/>
          <w:sz w:val="32"/>
          <w:szCs w:val="32"/>
          <w:highlight w:val="none"/>
        </w:rPr>
        <w:t>号</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960" w:firstLineChars="3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根据《河南省人民政府办公厅关于转发河南省国有建设用地使用权网上交易管理办法的通知》（豫政办〔2015〕135号）要求，经延津县人民政府批准，延津县</w:t>
      </w:r>
      <w:r>
        <w:rPr>
          <w:rFonts w:hint="eastAsia" w:ascii="仿宋_GB2312" w:hAnsi="仿宋_GB2312" w:eastAsia="仿宋_GB2312" w:cs="仿宋_GB2312"/>
          <w:sz w:val="32"/>
          <w:szCs w:val="32"/>
          <w:highlight w:val="none"/>
          <w:lang w:val="en-US" w:eastAsia="zh-CN"/>
        </w:rPr>
        <w:t>自然</w:t>
      </w:r>
      <w:r>
        <w:rPr>
          <w:rFonts w:hint="eastAsia" w:ascii="仿宋_GB2312" w:hAnsi="仿宋_GB2312" w:eastAsia="仿宋_GB2312" w:cs="仿宋_GB2312"/>
          <w:sz w:val="32"/>
          <w:szCs w:val="32"/>
          <w:highlight w:val="none"/>
        </w:rPr>
        <w:t>资源局决定以网上挂牌方式出让</w:t>
      </w:r>
      <w:r>
        <w:rPr>
          <w:rFonts w:hint="eastAsia" w:ascii="仿宋_GB2312" w:hAnsi="仿宋_GB2312" w:eastAsia="仿宋_GB2312" w:cs="仿宋_GB2312"/>
          <w:sz w:val="32"/>
          <w:szCs w:val="32"/>
          <w:highlight w:val="none"/>
          <w:lang w:val="en-US" w:eastAsia="zh-CN"/>
        </w:rPr>
        <w:t>一宗</w:t>
      </w:r>
      <w:r>
        <w:rPr>
          <w:rFonts w:hint="eastAsia" w:ascii="仿宋_GB2312" w:hAnsi="仿宋_GB2312" w:eastAsia="仿宋_GB2312" w:cs="仿宋_GB2312"/>
          <w:sz w:val="32"/>
          <w:szCs w:val="32"/>
          <w:highlight w:val="none"/>
        </w:rPr>
        <w:t>国有建设用地使用权，现将有关事项公告如下：</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640" w:firstLineChars="200"/>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val="0"/>
          <w:bCs w:val="0"/>
          <w:sz w:val="32"/>
          <w:szCs w:val="32"/>
          <w:highlight w:val="none"/>
          <w:lang w:val="en-US" w:eastAsia="zh-CN"/>
        </w:rPr>
        <w:t>一、</w:t>
      </w:r>
      <w:r>
        <w:rPr>
          <w:rFonts w:hint="eastAsia" w:ascii="仿宋_GB2312" w:hAnsi="仿宋_GB2312" w:eastAsia="仿宋_GB2312" w:cs="仿宋_GB2312"/>
          <w:b w:val="0"/>
          <w:bCs w:val="0"/>
          <w:sz w:val="32"/>
          <w:szCs w:val="32"/>
          <w:highlight w:val="none"/>
        </w:rPr>
        <w:t xml:space="preserve">网上挂牌出让宗地的基本情况和规划指标要求 </w:t>
      </w:r>
    </w:p>
    <w:tbl>
      <w:tblPr>
        <w:tblStyle w:val="9"/>
        <w:tblpPr w:leftFromText="180" w:rightFromText="180" w:vertAnchor="text" w:horzAnchor="page" w:tblpX="1807" w:tblpY="92"/>
        <w:tblOverlap w:val="never"/>
        <w:tblW w:w="13951" w:type="dxa"/>
        <w:tblInd w:w="0" w:type="dxa"/>
        <w:tblLayout w:type="fixed"/>
        <w:tblCellMar>
          <w:top w:w="0" w:type="dxa"/>
          <w:left w:w="108" w:type="dxa"/>
          <w:bottom w:w="0" w:type="dxa"/>
          <w:right w:w="108" w:type="dxa"/>
        </w:tblCellMar>
      </w:tblPr>
      <w:tblGrid>
        <w:gridCol w:w="1399"/>
        <w:gridCol w:w="1452"/>
        <w:gridCol w:w="1380"/>
        <w:gridCol w:w="1284"/>
        <w:gridCol w:w="1392"/>
        <w:gridCol w:w="936"/>
        <w:gridCol w:w="888"/>
        <w:gridCol w:w="1044"/>
        <w:gridCol w:w="1152"/>
        <w:gridCol w:w="996"/>
        <w:gridCol w:w="1164"/>
        <w:gridCol w:w="864"/>
      </w:tblGrid>
      <w:tr>
        <w:tblPrEx>
          <w:tblCellMar>
            <w:top w:w="0" w:type="dxa"/>
            <w:left w:w="108" w:type="dxa"/>
            <w:bottom w:w="0" w:type="dxa"/>
            <w:right w:w="108" w:type="dxa"/>
          </w:tblCellMar>
        </w:tblPrEx>
        <w:trPr>
          <w:trHeight w:val="667" w:hRule="atLeast"/>
        </w:trPr>
        <w:tc>
          <w:tcPr>
            <w:tcW w:w="139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20" w:lineRule="exact"/>
              <w:ind w:left="0" w:leftChars="0"/>
              <w:jc w:val="center"/>
              <w:textAlignment w:val="auto"/>
              <w:rPr>
                <w:rFonts w:hint="eastAsia" w:ascii="方正小标宋简体" w:hAnsi="方正小标宋简体" w:eastAsia="方正小标宋简体" w:cs="方正小标宋简体"/>
                <w:color w:val="000000"/>
                <w:sz w:val="18"/>
                <w:highlight w:val="none"/>
              </w:rPr>
            </w:pPr>
            <w:r>
              <w:rPr>
                <w:rFonts w:hint="eastAsia" w:ascii="方正小标宋简体" w:hAnsi="方正小标宋简体" w:eastAsia="方正小标宋简体" w:cs="方正小标宋简体"/>
                <w:color w:val="000000"/>
                <w:sz w:val="18"/>
                <w:highlight w:val="none"/>
              </w:rPr>
              <w:t>宗地编号</w:t>
            </w:r>
          </w:p>
        </w:tc>
        <w:tc>
          <w:tcPr>
            <w:tcW w:w="145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20" w:lineRule="exact"/>
              <w:ind w:left="0" w:leftChars="0"/>
              <w:jc w:val="center"/>
              <w:textAlignment w:val="auto"/>
              <w:rPr>
                <w:rFonts w:hint="eastAsia" w:ascii="方正小标宋简体" w:hAnsi="方正小标宋简体" w:eastAsia="方正小标宋简体" w:cs="方正小标宋简体"/>
                <w:color w:val="000000"/>
                <w:sz w:val="18"/>
                <w:highlight w:val="none"/>
              </w:rPr>
            </w:pPr>
            <w:r>
              <w:rPr>
                <w:rFonts w:hint="eastAsia" w:ascii="方正小标宋简体" w:hAnsi="方正小标宋简体" w:eastAsia="方正小标宋简体" w:cs="方正小标宋简体"/>
                <w:color w:val="000000"/>
                <w:sz w:val="18"/>
                <w:highlight w:val="none"/>
              </w:rPr>
              <w:t>宗地位置</w:t>
            </w:r>
          </w:p>
        </w:tc>
        <w:tc>
          <w:tcPr>
            <w:tcW w:w="13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20" w:lineRule="exact"/>
              <w:ind w:left="0" w:leftChars="0"/>
              <w:jc w:val="center"/>
              <w:textAlignment w:val="auto"/>
              <w:rPr>
                <w:rFonts w:hint="eastAsia" w:ascii="方正小标宋简体" w:hAnsi="方正小标宋简体" w:eastAsia="方正小标宋简体" w:cs="方正小标宋简体"/>
                <w:color w:val="000000"/>
                <w:sz w:val="18"/>
                <w:highlight w:val="none"/>
              </w:rPr>
            </w:pPr>
            <w:r>
              <w:rPr>
                <w:rFonts w:hint="eastAsia" w:ascii="方正小标宋简体" w:hAnsi="方正小标宋简体" w:eastAsia="方正小标宋简体" w:cs="方正小标宋简体"/>
                <w:color w:val="000000"/>
                <w:sz w:val="18"/>
                <w:highlight w:val="none"/>
              </w:rPr>
              <w:t>土地面积</w:t>
            </w:r>
          </w:p>
        </w:tc>
        <w:tc>
          <w:tcPr>
            <w:tcW w:w="128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20" w:lineRule="exact"/>
              <w:ind w:left="0" w:leftChars="0"/>
              <w:jc w:val="center"/>
              <w:textAlignment w:val="auto"/>
              <w:rPr>
                <w:rFonts w:hint="eastAsia" w:ascii="方正小标宋简体" w:hAnsi="方正小标宋简体" w:eastAsia="方正小标宋简体" w:cs="方正小标宋简体"/>
                <w:color w:val="000000"/>
                <w:sz w:val="18"/>
                <w:highlight w:val="none"/>
              </w:rPr>
            </w:pPr>
            <w:r>
              <w:rPr>
                <w:rFonts w:hint="eastAsia" w:ascii="方正小标宋简体" w:hAnsi="方正小标宋简体" w:eastAsia="方正小标宋简体" w:cs="方正小标宋简体"/>
                <w:color w:val="000000"/>
                <w:sz w:val="18"/>
                <w:highlight w:val="none"/>
              </w:rPr>
              <w:t>土地</w:t>
            </w:r>
          </w:p>
          <w:p>
            <w:pPr>
              <w:keepNext w:val="0"/>
              <w:keepLines w:val="0"/>
              <w:pageBreakBefore w:val="0"/>
              <w:widowControl/>
              <w:kinsoku/>
              <w:wordWrap/>
              <w:overflowPunct/>
              <w:topLinePunct w:val="0"/>
              <w:autoSpaceDE/>
              <w:autoSpaceDN/>
              <w:bidi w:val="0"/>
              <w:adjustRightInd/>
              <w:snapToGrid/>
              <w:spacing w:line="420" w:lineRule="exact"/>
              <w:ind w:left="0" w:leftChars="0"/>
              <w:jc w:val="center"/>
              <w:textAlignment w:val="auto"/>
              <w:rPr>
                <w:rFonts w:hint="eastAsia" w:ascii="方正小标宋简体" w:hAnsi="方正小标宋简体" w:eastAsia="方正小标宋简体" w:cs="方正小标宋简体"/>
                <w:color w:val="000000"/>
                <w:sz w:val="18"/>
                <w:highlight w:val="none"/>
              </w:rPr>
            </w:pPr>
            <w:r>
              <w:rPr>
                <w:rFonts w:hint="eastAsia" w:ascii="方正小标宋简体" w:hAnsi="方正小标宋简体" w:eastAsia="方正小标宋简体" w:cs="方正小标宋简体"/>
                <w:color w:val="000000"/>
                <w:sz w:val="18"/>
                <w:highlight w:val="none"/>
              </w:rPr>
              <w:t>用途</w:t>
            </w:r>
          </w:p>
        </w:tc>
        <w:tc>
          <w:tcPr>
            <w:tcW w:w="13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20" w:lineRule="exact"/>
              <w:ind w:left="0" w:leftChars="0"/>
              <w:jc w:val="center"/>
              <w:textAlignment w:val="auto"/>
              <w:rPr>
                <w:rFonts w:hint="eastAsia" w:ascii="方正小标宋简体" w:hAnsi="方正小标宋简体" w:eastAsia="方正小标宋简体" w:cs="方正小标宋简体"/>
                <w:color w:val="000000"/>
                <w:sz w:val="18"/>
                <w:highlight w:val="none"/>
              </w:rPr>
            </w:pPr>
            <w:r>
              <w:rPr>
                <w:rFonts w:hint="eastAsia" w:ascii="方正小标宋简体" w:hAnsi="方正小标宋简体" w:eastAsia="方正小标宋简体" w:cs="方正小标宋简体"/>
                <w:color w:val="000000"/>
                <w:sz w:val="18"/>
                <w:highlight w:val="none"/>
              </w:rPr>
              <w:t>容积率</w:t>
            </w:r>
          </w:p>
        </w:tc>
        <w:tc>
          <w:tcPr>
            <w:tcW w:w="9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20" w:lineRule="exact"/>
              <w:ind w:left="0" w:leftChars="0"/>
              <w:jc w:val="center"/>
              <w:textAlignment w:val="auto"/>
              <w:rPr>
                <w:rFonts w:hint="eastAsia" w:ascii="方正小标宋简体" w:hAnsi="方正小标宋简体" w:eastAsia="方正小标宋简体" w:cs="方正小标宋简体"/>
                <w:color w:val="000000"/>
                <w:sz w:val="18"/>
                <w:highlight w:val="none"/>
              </w:rPr>
            </w:pPr>
            <w:r>
              <w:rPr>
                <w:rFonts w:hint="eastAsia" w:ascii="方正小标宋简体" w:hAnsi="方正小标宋简体" w:eastAsia="方正小标宋简体" w:cs="方正小标宋简体"/>
                <w:color w:val="000000"/>
                <w:sz w:val="18"/>
                <w:highlight w:val="none"/>
                <w:lang w:val="en-US" w:eastAsia="zh-CN"/>
              </w:rPr>
              <w:t>建筑密度</w:t>
            </w:r>
          </w:p>
        </w:tc>
        <w:tc>
          <w:tcPr>
            <w:tcW w:w="88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20" w:lineRule="exact"/>
              <w:ind w:left="0" w:leftChars="0"/>
              <w:jc w:val="center"/>
              <w:textAlignment w:val="auto"/>
              <w:rPr>
                <w:rFonts w:hint="eastAsia" w:ascii="方正小标宋简体" w:hAnsi="方正小标宋简体" w:eastAsia="方正小标宋简体" w:cs="方正小标宋简体"/>
                <w:color w:val="000000"/>
                <w:sz w:val="18"/>
                <w:highlight w:val="none"/>
              </w:rPr>
            </w:pPr>
            <w:r>
              <w:rPr>
                <w:rFonts w:hint="eastAsia" w:ascii="方正小标宋简体" w:hAnsi="方正小标宋简体" w:eastAsia="方正小标宋简体" w:cs="方正小标宋简体"/>
                <w:color w:val="000000"/>
                <w:sz w:val="18"/>
                <w:highlight w:val="none"/>
              </w:rPr>
              <w:t>绿地率</w:t>
            </w:r>
          </w:p>
        </w:tc>
        <w:tc>
          <w:tcPr>
            <w:tcW w:w="104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20" w:lineRule="exact"/>
              <w:ind w:left="0" w:leftChars="0"/>
              <w:jc w:val="center"/>
              <w:textAlignment w:val="auto"/>
              <w:rPr>
                <w:rFonts w:hint="eastAsia" w:ascii="方正小标宋简体" w:hAnsi="方正小标宋简体" w:eastAsia="方正小标宋简体" w:cs="方正小标宋简体"/>
                <w:color w:val="000000"/>
                <w:sz w:val="18"/>
                <w:highlight w:val="none"/>
                <w:lang w:eastAsia="zh-CN"/>
              </w:rPr>
            </w:pPr>
            <w:r>
              <w:rPr>
                <w:rFonts w:hint="eastAsia" w:ascii="方正小标宋简体" w:hAnsi="方正小标宋简体" w:eastAsia="方正小标宋简体" w:cs="方正小标宋简体"/>
                <w:color w:val="000000"/>
                <w:sz w:val="18"/>
                <w:highlight w:val="none"/>
                <w:lang w:eastAsia="zh-CN"/>
              </w:rPr>
              <w:t>建筑限高</w:t>
            </w:r>
          </w:p>
        </w:tc>
        <w:tc>
          <w:tcPr>
            <w:tcW w:w="115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20" w:lineRule="exact"/>
              <w:ind w:left="0" w:leftChars="0"/>
              <w:jc w:val="center"/>
              <w:textAlignment w:val="auto"/>
              <w:rPr>
                <w:rFonts w:hint="eastAsia" w:ascii="方正小标宋简体" w:hAnsi="方正小标宋简体" w:eastAsia="方正小标宋简体" w:cs="方正小标宋简体"/>
                <w:color w:val="000000"/>
                <w:sz w:val="18"/>
                <w:highlight w:val="none"/>
              </w:rPr>
            </w:pPr>
            <w:r>
              <w:rPr>
                <w:rFonts w:hint="eastAsia" w:ascii="方正小标宋简体" w:hAnsi="方正小标宋简体" w:eastAsia="方正小标宋简体" w:cs="方正小标宋简体"/>
                <w:color w:val="000000"/>
                <w:sz w:val="18"/>
                <w:highlight w:val="none"/>
              </w:rPr>
              <w:t>出让年限（年）</w:t>
            </w:r>
          </w:p>
        </w:tc>
        <w:tc>
          <w:tcPr>
            <w:tcW w:w="99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20" w:lineRule="exact"/>
              <w:ind w:left="0" w:leftChars="0"/>
              <w:jc w:val="center"/>
              <w:textAlignment w:val="auto"/>
              <w:rPr>
                <w:rFonts w:hint="eastAsia" w:ascii="方正小标宋简体" w:hAnsi="方正小标宋简体" w:eastAsia="方正小标宋简体" w:cs="方正小标宋简体"/>
                <w:color w:val="000000"/>
                <w:sz w:val="18"/>
                <w:highlight w:val="none"/>
              </w:rPr>
            </w:pPr>
            <w:r>
              <w:rPr>
                <w:rFonts w:hint="eastAsia" w:ascii="方正小标宋简体" w:hAnsi="方正小标宋简体" w:eastAsia="方正小标宋简体" w:cs="方正小标宋简体"/>
                <w:color w:val="000000"/>
                <w:sz w:val="18"/>
                <w:highlight w:val="none"/>
              </w:rPr>
              <w:t>竞买保证金（万元）</w:t>
            </w:r>
          </w:p>
        </w:tc>
        <w:tc>
          <w:tcPr>
            <w:tcW w:w="11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420" w:lineRule="exact"/>
              <w:ind w:left="0" w:leftChars="0"/>
              <w:jc w:val="center"/>
              <w:textAlignment w:val="auto"/>
              <w:rPr>
                <w:rFonts w:hint="eastAsia" w:ascii="方正小标宋简体" w:hAnsi="方正小标宋简体" w:eastAsia="方正小标宋简体" w:cs="方正小标宋简体"/>
                <w:color w:val="000000"/>
                <w:sz w:val="18"/>
                <w:highlight w:val="none"/>
              </w:rPr>
            </w:pPr>
            <w:r>
              <w:rPr>
                <w:rFonts w:hint="eastAsia" w:ascii="方正小标宋简体" w:hAnsi="方正小标宋简体" w:eastAsia="方正小标宋简体" w:cs="方正小标宋简体"/>
                <w:color w:val="000000"/>
                <w:sz w:val="18"/>
                <w:highlight w:val="none"/>
              </w:rPr>
              <w:t>挂牌起始价</w:t>
            </w:r>
          </w:p>
          <w:p>
            <w:pPr>
              <w:keepNext w:val="0"/>
              <w:keepLines w:val="0"/>
              <w:pageBreakBefore w:val="0"/>
              <w:widowControl/>
              <w:kinsoku/>
              <w:wordWrap/>
              <w:overflowPunct/>
              <w:topLinePunct w:val="0"/>
              <w:autoSpaceDE/>
              <w:autoSpaceDN/>
              <w:bidi w:val="0"/>
              <w:adjustRightInd/>
              <w:snapToGrid/>
              <w:spacing w:line="420" w:lineRule="exact"/>
              <w:ind w:left="0" w:leftChars="0"/>
              <w:jc w:val="center"/>
              <w:textAlignment w:val="auto"/>
              <w:rPr>
                <w:rFonts w:hint="eastAsia" w:ascii="方正小标宋简体" w:hAnsi="方正小标宋简体" w:eastAsia="方正小标宋简体" w:cs="方正小标宋简体"/>
                <w:color w:val="000000"/>
                <w:sz w:val="18"/>
                <w:highlight w:val="none"/>
              </w:rPr>
            </w:pPr>
            <w:r>
              <w:rPr>
                <w:rFonts w:hint="eastAsia" w:ascii="方正小标宋简体" w:hAnsi="方正小标宋简体" w:eastAsia="方正小标宋简体" w:cs="方正小标宋简体"/>
                <w:color w:val="000000"/>
                <w:sz w:val="18"/>
                <w:highlight w:val="none"/>
              </w:rPr>
              <w:t>（万元/亩）</w:t>
            </w:r>
          </w:p>
        </w:tc>
        <w:tc>
          <w:tcPr>
            <w:tcW w:w="86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tabs>
                <w:tab w:val="left" w:pos="578"/>
              </w:tabs>
              <w:kinsoku/>
              <w:wordWrap/>
              <w:overflowPunct/>
              <w:topLinePunct w:val="0"/>
              <w:autoSpaceDE/>
              <w:autoSpaceDN/>
              <w:bidi w:val="0"/>
              <w:adjustRightInd/>
              <w:snapToGrid/>
              <w:spacing w:line="420" w:lineRule="exact"/>
              <w:ind w:left="0" w:leftChars="0"/>
              <w:jc w:val="center"/>
              <w:textAlignment w:val="auto"/>
              <w:rPr>
                <w:rFonts w:ascii="仿宋_GB2312" w:eastAsia="仿宋_GB2312"/>
                <w:bCs/>
                <w:sz w:val="20"/>
                <w:szCs w:val="20"/>
                <w:highlight w:val="none"/>
              </w:rPr>
            </w:pPr>
            <w:r>
              <w:rPr>
                <w:rFonts w:hint="eastAsia" w:ascii="仿宋" w:hAnsi="仿宋" w:eastAsia="仿宋" w:cs="仿宋"/>
                <w:color w:val="000000"/>
                <w:sz w:val="21"/>
                <w:szCs w:val="21"/>
                <w:highlight w:val="none"/>
              </w:rPr>
              <w:t>增价幅度</w:t>
            </w:r>
            <w:r>
              <w:rPr>
                <w:rFonts w:hint="eastAsia" w:ascii="仿宋" w:hAnsi="仿宋" w:eastAsia="仿宋" w:cs="仿宋"/>
                <w:color w:val="000000"/>
                <w:sz w:val="21"/>
                <w:szCs w:val="21"/>
                <w:highlight w:val="none"/>
                <w:lang w:eastAsia="zh-CN"/>
              </w:rPr>
              <w:t>：</w:t>
            </w:r>
            <w:r>
              <w:rPr>
                <w:rFonts w:hint="eastAsia" w:ascii="仿宋" w:hAnsi="仿宋" w:eastAsia="仿宋" w:cs="仿宋"/>
                <w:color w:val="000000"/>
                <w:sz w:val="21"/>
                <w:szCs w:val="21"/>
                <w:highlight w:val="none"/>
              </w:rPr>
              <w:t>1万元/亩或其整倍数</w:t>
            </w:r>
          </w:p>
        </w:tc>
      </w:tr>
      <w:tr>
        <w:tblPrEx>
          <w:tblCellMar>
            <w:top w:w="0" w:type="dxa"/>
            <w:left w:w="108" w:type="dxa"/>
            <w:bottom w:w="0" w:type="dxa"/>
            <w:right w:w="108" w:type="dxa"/>
          </w:tblCellMar>
        </w:tblPrEx>
        <w:trPr>
          <w:trHeight w:val="762" w:hRule="atLeast"/>
        </w:trPr>
        <w:tc>
          <w:tcPr>
            <w:tcW w:w="1399" w:type="dxa"/>
            <w:tcBorders>
              <w:top w:val="single" w:color="auto" w:sz="4" w:space="0"/>
              <w:left w:val="single" w:color="000000" w:sz="4" w:space="0"/>
              <w:bottom w:val="single" w:color="auto" w:sz="4" w:space="0"/>
              <w:right w:val="single" w:color="000000" w:sz="4" w:space="0"/>
            </w:tcBorders>
            <w:noWrap w:val="0"/>
            <w:vAlign w:val="center"/>
          </w:tcPr>
          <w:p>
            <w:pPr>
              <w:keepNext w:val="0"/>
              <w:keepLines w:val="0"/>
              <w:pageBreakBefore w:val="0"/>
              <w:tabs>
                <w:tab w:val="left" w:pos="578"/>
              </w:tabs>
              <w:kinsoku/>
              <w:wordWrap/>
              <w:overflowPunct/>
              <w:topLinePunct w:val="0"/>
              <w:autoSpaceDE/>
              <w:autoSpaceDN/>
              <w:bidi w:val="0"/>
              <w:adjustRightInd/>
              <w:snapToGrid/>
              <w:spacing w:line="420" w:lineRule="exact"/>
              <w:ind w:left="0" w:leftChars="0"/>
              <w:jc w:val="center"/>
              <w:textAlignment w:val="auto"/>
              <w:rPr>
                <w:rFonts w:hint="eastAsia"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YJ</w:t>
            </w:r>
            <w:r>
              <w:rPr>
                <w:rFonts w:hint="eastAsia" w:ascii="仿宋" w:hAnsi="仿宋" w:eastAsia="仿宋" w:cs="仿宋"/>
                <w:color w:val="000000"/>
                <w:sz w:val="21"/>
                <w:szCs w:val="21"/>
                <w:highlight w:val="none"/>
                <w:lang w:eastAsia="zh-CN"/>
              </w:rPr>
              <w:t>202</w:t>
            </w:r>
            <w:r>
              <w:rPr>
                <w:rFonts w:hint="eastAsia" w:ascii="仿宋" w:hAnsi="仿宋" w:eastAsia="仿宋" w:cs="仿宋"/>
                <w:color w:val="000000"/>
                <w:sz w:val="21"/>
                <w:szCs w:val="21"/>
                <w:highlight w:val="none"/>
                <w:lang w:val="en-US" w:eastAsia="zh-CN"/>
              </w:rPr>
              <w:t>6</w:t>
            </w:r>
            <w:r>
              <w:rPr>
                <w:rFonts w:hint="eastAsia" w:ascii="仿宋" w:hAnsi="仿宋" w:eastAsia="仿宋" w:cs="仿宋"/>
                <w:color w:val="000000"/>
                <w:sz w:val="21"/>
                <w:szCs w:val="21"/>
                <w:highlight w:val="none"/>
                <w:lang w:eastAsia="zh-CN"/>
              </w:rPr>
              <w:t>-</w:t>
            </w:r>
            <w:r>
              <w:rPr>
                <w:rFonts w:hint="eastAsia" w:ascii="仿宋" w:hAnsi="仿宋" w:eastAsia="仿宋" w:cs="仿宋"/>
                <w:color w:val="000000"/>
                <w:sz w:val="21"/>
                <w:szCs w:val="21"/>
                <w:highlight w:val="none"/>
                <w:lang w:val="en-US" w:eastAsia="zh-CN"/>
              </w:rPr>
              <w:t>05</w:t>
            </w:r>
            <w:r>
              <w:rPr>
                <w:rFonts w:hint="eastAsia" w:ascii="仿宋" w:hAnsi="仿宋" w:eastAsia="仿宋" w:cs="仿宋"/>
                <w:color w:val="000000"/>
                <w:sz w:val="21"/>
                <w:szCs w:val="21"/>
                <w:highlight w:val="none"/>
                <w:lang w:eastAsia="zh-CN"/>
              </w:rPr>
              <w:t>号</w:t>
            </w:r>
          </w:p>
        </w:tc>
        <w:tc>
          <w:tcPr>
            <w:tcW w:w="1452" w:type="dxa"/>
            <w:tcBorders>
              <w:top w:val="single" w:color="auto" w:sz="4" w:space="0"/>
              <w:left w:val="nil"/>
              <w:bottom w:val="single" w:color="auto" w:sz="4" w:space="0"/>
              <w:right w:val="single" w:color="000000" w:sz="4" w:space="0"/>
            </w:tcBorders>
            <w:noWrap w:val="0"/>
            <w:vAlign w:val="center"/>
          </w:tcPr>
          <w:p>
            <w:pPr>
              <w:keepNext w:val="0"/>
              <w:keepLines w:val="0"/>
              <w:pageBreakBefore w:val="0"/>
              <w:tabs>
                <w:tab w:val="left" w:pos="578"/>
              </w:tabs>
              <w:kinsoku/>
              <w:wordWrap/>
              <w:overflowPunct/>
              <w:topLinePunct w:val="0"/>
              <w:autoSpaceDE/>
              <w:autoSpaceDN/>
              <w:bidi w:val="0"/>
              <w:adjustRightInd/>
              <w:snapToGrid/>
              <w:spacing w:line="420" w:lineRule="exact"/>
              <w:ind w:left="0" w:leftChars="0"/>
              <w:jc w:val="center"/>
              <w:textAlignment w:val="auto"/>
              <w:rPr>
                <w:rFonts w:hint="eastAsia" w:ascii="仿宋" w:hAnsi="仿宋" w:eastAsia="仿宋" w:cs="仿宋"/>
                <w:color w:val="000000"/>
                <w:sz w:val="21"/>
                <w:szCs w:val="21"/>
                <w:highlight w:val="none"/>
                <w:lang w:val="en-US" w:eastAsia="zh-CN"/>
              </w:rPr>
            </w:pPr>
            <w:r>
              <w:rPr>
                <w:rFonts w:hint="eastAsia" w:ascii="仿宋" w:hAnsi="仿宋" w:eastAsia="仿宋" w:cs="仿宋"/>
                <w:color w:val="000000"/>
                <w:sz w:val="18"/>
                <w:szCs w:val="18"/>
                <w:highlight w:val="none"/>
                <w:lang w:val="en-US" w:eastAsia="zh-CN"/>
              </w:rPr>
              <w:t>开发区北区纬三路与规划二路东北角</w:t>
            </w:r>
          </w:p>
        </w:tc>
        <w:tc>
          <w:tcPr>
            <w:tcW w:w="1380" w:type="dxa"/>
            <w:tcBorders>
              <w:top w:val="single" w:color="auto" w:sz="4" w:space="0"/>
              <w:left w:val="nil"/>
              <w:bottom w:val="single" w:color="auto" w:sz="4" w:space="0"/>
              <w:right w:val="single" w:color="000000" w:sz="4" w:space="0"/>
            </w:tcBorders>
            <w:noWrap w:val="0"/>
            <w:vAlign w:val="center"/>
          </w:tcPr>
          <w:p>
            <w:pPr>
              <w:keepNext w:val="0"/>
              <w:keepLines w:val="0"/>
              <w:pageBreakBefore w:val="0"/>
              <w:tabs>
                <w:tab w:val="left" w:pos="578"/>
              </w:tabs>
              <w:kinsoku/>
              <w:wordWrap/>
              <w:overflowPunct/>
              <w:topLinePunct w:val="0"/>
              <w:autoSpaceDE/>
              <w:autoSpaceDN/>
              <w:bidi w:val="0"/>
              <w:adjustRightInd/>
              <w:snapToGrid/>
              <w:spacing w:line="420" w:lineRule="exact"/>
              <w:ind w:left="0" w:leftChars="0"/>
              <w:jc w:val="center"/>
              <w:textAlignment w:val="auto"/>
              <w:rPr>
                <w:rFonts w:hint="eastAsia"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73614.74平方米（约110.42亩）</w:t>
            </w:r>
          </w:p>
        </w:tc>
        <w:tc>
          <w:tcPr>
            <w:tcW w:w="1284" w:type="dxa"/>
            <w:tcBorders>
              <w:top w:val="single" w:color="auto" w:sz="4" w:space="0"/>
              <w:left w:val="nil"/>
              <w:bottom w:val="single" w:color="auto" w:sz="4" w:space="0"/>
              <w:right w:val="single" w:color="000000" w:sz="4" w:space="0"/>
            </w:tcBorders>
            <w:noWrap w:val="0"/>
            <w:vAlign w:val="center"/>
          </w:tcPr>
          <w:p>
            <w:pPr>
              <w:keepNext w:val="0"/>
              <w:keepLines w:val="0"/>
              <w:pageBreakBefore w:val="0"/>
              <w:tabs>
                <w:tab w:val="left" w:pos="578"/>
              </w:tabs>
              <w:kinsoku/>
              <w:wordWrap/>
              <w:overflowPunct/>
              <w:topLinePunct w:val="0"/>
              <w:autoSpaceDE/>
              <w:autoSpaceDN/>
              <w:bidi w:val="0"/>
              <w:adjustRightInd/>
              <w:snapToGrid/>
              <w:spacing w:line="420" w:lineRule="exact"/>
              <w:ind w:left="0" w:leftChars="0"/>
              <w:jc w:val="center"/>
              <w:textAlignment w:val="auto"/>
              <w:rPr>
                <w:rFonts w:hint="eastAsia"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三类工</w:t>
            </w:r>
          </w:p>
          <w:p>
            <w:pPr>
              <w:keepNext w:val="0"/>
              <w:keepLines w:val="0"/>
              <w:pageBreakBefore w:val="0"/>
              <w:tabs>
                <w:tab w:val="left" w:pos="578"/>
              </w:tabs>
              <w:kinsoku/>
              <w:wordWrap/>
              <w:overflowPunct/>
              <w:topLinePunct w:val="0"/>
              <w:autoSpaceDE/>
              <w:autoSpaceDN/>
              <w:bidi w:val="0"/>
              <w:adjustRightInd/>
              <w:snapToGrid/>
              <w:spacing w:line="420" w:lineRule="exact"/>
              <w:ind w:left="0" w:leftChars="0"/>
              <w:jc w:val="center"/>
              <w:textAlignment w:val="auto"/>
              <w:rPr>
                <w:rFonts w:hint="eastAsia"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业用地</w:t>
            </w:r>
          </w:p>
        </w:tc>
        <w:tc>
          <w:tcPr>
            <w:tcW w:w="1392" w:type="dxa"/>
            <w:tcBorders>
              <w:top w:val="single" w:color="auto" w:sz="4" w:space="0"/>
              <w:left w:val="nil"/>
              <w:bottom w:val="single" w:color="auto" w:sz="4" w:space="0"/>
              <w:right w:val="single" w:color="000000" w:sz="4" w:space="0"/>
            </w:tcBorders>
            <w:noWrap w:val="0"/>
            <w:vAlign w:val="center"/>
          </w:tcPr>
          <w:p>
            <w:pPr>
              <w:keepNext w:val="0"/>
              <w:keepLines w:val="0"/>
              <w:pageBreakBefore w:val="0"/>
              <w:tabs>
                <w:tab w:val="left" w:pos="578"/>
              </w:tabs>
              <w:kinsoku/>
              <w:wordWrap/>
              <w:overflowPunct/>
              <w:topLinePunct w:val="0"/>
              <w:autoSpaceDE/>
              <w:autoSpaceDN/>
              <w:bidi w:val="0"/>
              <w:adjustRightInd/>
              <w:snapToGrid/>
              <w:spacing w:line="420" w:lineRule="exact"/>
              <w:ind w:left="0" w:leftChars="0"/>
              <w:jc w:val="center"/>
              <w:textAlignment w:val="auto"/>
              <w:rPr>
                <w:rFonts w:hint="eastAsia"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≥0.6</w:t>
            </w:r>
          </w:p>
        </w:tc>
        <w:tc>
          <w:tcPr>
            <w:tcW w:w="936" w:type="dxa"/>
            <w:tcBorders>
              <w:top w:val="single" w:color="auto" w:sz="4" w:space="0"/>
              <w:left w:val="nil"/>
              <w:bottom w:val="single" w:color="auto" w:sz="4" w:space="0"/>
              <w:right w:val="single" w:color="auto" w:sz="4" w:space="0"/>
            </w:tcBorders>
            <w:noWrap w:val="0"/>
            <w:vAlign w:val="center"/>
          </w:tcPr>
          <w:p>
            <w:pPr>
              <w:keepNext w:val="0"/>
              <w:keepLines w:val="0"/>
              <w:pageBreakBefore w:val="0"/>
              <w:tabs>
                <w:tab w:val="left" w:pos="578"/>
              </w:tabs>
              <w:kinsoku/>
              <w:wordWrap/>
              <w:overflowPunct/>
              <w:topLinePunct w:val="0"/>
              <w:autoSpaceDE/>
              <w:autoSpaceDN/>
              <w:bidi w:val="0"/>
              <w:adjustRightInd/>
              <w:snapToGrid/>
              <w:spacing w:line="420" w:lineRule="exact"/>
              <w:ind w:left="0" w:leftChars="0"/>
              <w:jc w:val="center"/>
              <w:textAlignment w:val="auto"/>
              <w:rPr>
                <w:rFonts w:hint="eastAsia"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≥40%</w:t>
            </w:r>
          </w:p>
        </w:tc>
        <w:tc>
          <w:tcPr>
            <w:tcW w:w="888" w:type="dxa"/>
            <w:tcBorders>
              <w:top w:val="single" w:color="auto" w:sz="4" w:space="0"/>
              <w:left w:val="single" w:color="auto" w:sz="4" w:space="0"/>
              <w:bottom w:val="single" w:color="auto" w:sz="4" w:space="0"/>
              <w:right w:val="single" w:color="000000" w:sz="4" w:space="0"/>
            </w:tcBorders>
            <w:noWrap w:val="0"/>
            <w:vAlign w:val="center"/>
          </w:tcPr>
          <w:p>
            <w:pPr>
              <w:keepNext w:val="0"/>
              <w:keepLines w:val="0"/>
              <w:pageBreakBefore w:val="0"/>
              <w:tabs>
                <w:tab w:val="left" w:pos="578"/>
              </w:tabs>
              <w:kinsoku/>
              <w:wordWrap/>
              <w:overflowPunct/>
              <w:topLinePunct w:val="0"/>
              <w:autoSpaceDE/>
              <w:autoSpaceDN/>
              <w:bidi w:val="0"/>
              <w:adjustRightInd/>
              <w:snapToGrid/>
              <w:spacing w:line="420" w:lineRule="exact"/>
              <w:ind w:left="0" w:leftChars="0"/>
              <w:jc w:val="center"/>
              <w:textAlignment w:val="auto"/>
              <w:rPr>
                <w:rFonts w:hint="eastAsia"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≤20%</w:t>
            </w:r>
          </w:p>
        </w:tc>
        <w:tc>
          <w:tcPr>
            <w:tcW w:w="1044" w:type="dxa"/>
            <w:tcBorders>
              <w:top w:val="single" w:color="auto" w:sz="4" w:space="0"/>
              <w:left w:val="nil"/>
              <w:bottom w:val="single" w:color="auto" w:sz="4" w:space="0"/>
              <w:right w:val="single" w:color="000000" w:sz="4" w:space="0"/>
            </w:tcBorders>
            <w:noWrap w:val="0"/>
            <w:vAlign w:val="center"/>
          </w:tcPr>
          <w:p>
            <w:pPr>
              <w:keepNext w:val="0"/>
              <w:keepLines w:val="0"/>
              <w:pageBreakBefore w:val="0"/>
              <w:tabs>
                <w:tab w:val="left" w:pos="578"/>
              </w:tabs>
              <w:kinsoku/>
              <w:wordWrap/>
              <w:overflowPunct/>
              <w:topLinePunct w:val="0"/>
              <w:autoSpaceDE/>
              <w:autoSpaceDN/>
              <w:bidi w:val="0"/>
              <w:adjustRightInd/>
              <w:snapToGrid/>
              <w:spacing w:line="420" w:lineRule="exact"/>
              <w:ind w:left="0" w:leftChars="0"/>
              <w:jc w:val="center"/>
              <w:textAlignment w:val="auto"/>
              <w:rPr>
                <w:rFonts w:hint="eastAsia"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≤80米</w:t>
            </w:r>
          </w:p>
        </w:tc>
        <w:tc>
          <w:tcPr>
            <w:tcW w:w="1152" w:type="dxa"/>
            <w:tcBorders>
              <w:top w:val="single" w:color="auto" w:sz="4" w:space="0"/>
              <w:left w:val="nil"/>
              <w:bottom w:val="single" w:color="auto" w:sz="4" w:space="0"/>
              <w:right w:val="single" w:color="000000" w:sz="4" w:space="0"/>
            </w:tcBorders>
            <w:noWrap w:val="0"/>
            <w:vAlign w:val="center"/>
          </w:tcPr>
          <w:p>
            <w:pPr>
              <w:keepNext w:val="0"/>
              <w:keepLines w:val="0"/>
              <w:pageBreakBefore w:val="0"/>
              <w:tabs>
                <w:tab w:val="left" w:pos="578"/>
              </w:tabs>
              <w:kinsoku/>
              <w:wordWrap/>
              <w:overflowPunct/>
              <w:topLinePunct w:val="0"/>
              <w:autoSpaceDE/>
              <w:autoSpaceDN/>
              <w:bidi w:val="0"/>
              <w:adjustRightInd/>
              <w:snapToGrid/>
              <w:spacing w:line="420" w:lineRule="exact"/>
              <w:ind w:left="0" w:leftChars="0"/>
              <w:jc w:val="center"/>
              <w:textAlignment w:val="auto"/>
              <w:rPr>
                <w:rFonts w:hint="eastAsia"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50</w:t>
            </w:r>
          </w:p>
        </w:tc>
        <w:tc>
          <w:tcPr>
            <w:tcW w:w="996" w:type="dxa"/>
            <w:tcBorders>
              <w:top w:val="single" w:color="auto" w:sz="4" w:space="0"/>
              <w:left w:val="nil"/>
              <w:bottom w:val="single" w:color="auto" w:sz="4" w:space="0"/>
              <w:right w:val="single" w:color="000000" w:sz="4" w:space="0"/>
            </w:tcBorders>
            <w:noWrap w:val="0"/>
            <w:vAlign w:val="center"/>
          </w:tcPr>
          <w:p>
            <w:pPr>
              <w:keepNext w:val="0"/>
              <w:keepLines w:val="0"/>
              <w:pageBreakBefore w:val="0"/>
              <w:tabs>
                <w:tab w:val="left" w:pos="578"/>
              </w:tabs>
              <w:kinsoku/>
              <w:wordWrap/>
              <w:overflowPunct/>
              <w:topLinePunct w:val="0"/>
              <w:autoSpaceDE/>
              <w:autoSpaceDN/>
              <w:bidi w:val="0"/>
              <w:adjustRightInd/>
              <w:snapToGrid/>
              <w:spacing w:line="420" w:lineRule="exact"/>
              <w:ind w:left="0" w:leftChars="0"/>
              <w:jc w:val="center"/>
              <w:textAlignment w:val="auto"/>
              <w:rPr>
                <w:rFonts w:hint="default"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994</w:t>
            </w:r>
          </w:p>
        </w:tc>
        <w:tc>
          <w:tcPr>
            <w:tcW w:w="1164" w:type="dxa"/>
            <w:tcBorders>
              <w:top w:val="single" w:color="auto" w:sz="4" w:space="0"/>
              <w:left w:val="nil"/>
              <w:bottom w:val="single" w:color="auto" w:sz="4" w:space="0"/>
              <w:right w:val="single" w:color="auto" w:sz="4" w:space="0"/>
            </w:tcBorders>
            <w:noWrap w:val="0"/>
            <w:vAlign w:val="center"/>
          </w:tcPr>
          <w:p>
            <w:pPr>
              <w:keepNext w:val="0"/>
              <w:keepLines w:val="0"/>
              <w:pageBreakBefore w:val="0"/>
              <w:tabs>
                <w:tab w:val="left" w:pos="578"/>
              </w:tabs>
              <w:kinsoku/>
              <w:wordWrap/>
              <w:overflowPunct/>
              <w:topLinePunct w:val="0"/>
              <w:autoSpaceDE/>
              <w:autoSpaceDN/>
              <w:bidi w:val="0"/>
              <w:adjustRightInd/>
              <w:snapToGrid/>
              <w:spacing w:line="420" w:lineRule="exact"/>
              <w:ind w:left="0" w:leftChars="0"/>
              <w:jc w:val="center"/>
              <w:textAlignment w:val="auto"/>
              <w:rPr>
                <w:rFonts w:hint="eastAsia"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18</w:t>
            </w:r>
          </w:p>
        </w:tc>
        <w:tc>
          <w:tcPr>
            <w:tcW w:w="864"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tabs>
                <w:tab w:val="left" w:pos="578"/>
              </w:tabs>
              <w:kinsoku/>
              <w:wordWrap/>
              <w:overflowPunct/>
              <w:topLinePunct w:val="0"/>
              <w:autoSpaceDE/>
              <w:autoSpaceDN/>
              <w:bidi w:val="0"/>
              <w:adjustRightInd/>
              <w:snapToGrid/>
              <w:spacing w:line="420" w:lineRule="exact"/>
              <w:ind w:left="0" w:leftChars="0"/>
              <w:jc w:val="center"/>
              <w:textAlignment w:val="auto"/>
              <w:rPr>
                <w:rFonts w:ascii="仿宋_GB2312" w:eastAsia="仿宋_GB2312"/>
                <w:bCs/>
                <w:sz w:val="20"/>
                <w:szCs w:val="20"/>
                <w:highlight w:val="none"/>
              </w:rPr>
            </w:pPr>
          </w:p>
        </w:tc>
      </w:tr>
    </w:tbl>
    <w:p>
      <w:pPr>
        <w:keepNext w:val="0"/>
        <w:keepLines w:val="0"/>
        <w:pageBreakBefore w:val="0"/>
        <w:widowControl w:val="0"/>
        <w:kinsoku/>
        <w:wordWrap/>
        <w:overflowPunct/>
        <w:topLinePunct w:val="0"/>
        <w:autoSpaceDE/>
        <w:autoSpaceDN/>
        <w:bidi w:val="0"/>
        <w:adjustRightInd/>
        <w:snapToGrid/>
        <w:spacing w:line="420" w:lineRule="exact"/>
        <w:ind w:left="0" w:leftChars="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二、竞买资格及要求</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645"/>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1.中华人民共和国境内外的法人、自然人及其他经济组织均可申请参加网上竞买活动。但法律法规另有规定及存在伪造公文骗取用地手续和非法倒卖土地等犯罪行为、非法转让土地使用权等违法行为、因企业原因造成土地闲置一年以上、违背出让合同约定条件开发利用土地、擅自改变保障性安居工程用地用途搞商品房开发、拖欠土地出让金等情形之一的企业及其他经济组织，在违法违规违约行为处理完毕之前，该企业（包括其控股股东及其控股股东新设企业）及其他经济组织不得参加土地竞买活动。竞买人可单独竞买，也可联合竞买。</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645"/>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bCs/>
          <w:sz w:val="32"/>
          <w:szCs w:val="32"/>
          <w:highlight w:val="none"/>
        </w:rPr>
        <w:t>为保证网络环境下用户身份的确认和有关资料信息的真实、安全性，竞买人须登陆“河南省土地使用权网上交易系统”</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color w:val="auto"/>
          <w:sz w:val="32"/>
          <w:szCs w:val="32"/>
          <w:highlight w:val="none"/>
          <w:u w:val="none"/>
        </w:rPr>
        <w:t>https://td.hnsggzyjy.henan.gov.cn</w:t>
      </w:r>
      <w:r>
        <w:rPr>
          <w:rFonts w:hint="eastAsia" w:ascii="仿宋_GB2312" w:hAnsi="仿宋_GB2312" w:eastAsia="仿宋_GB2312" w:cs="仿宋_GB2312"/>
          <w:sz w:val="32"/>
          <w:szCs w:val="32"/>
          <w:highlight w:val="none"/>
        </w:rPr>
        <w:t>）申请办理河南CA数字证书后，方可在网上浏览或下载出让文件，参加网上交易活动。</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645"/>
        <w:textAlignment w:val="auto"/>
        <w:rPr>
          <w:rFonts w:hint="eastAsia" w:ascii="仿宋_GB2312" w:hAnsi="仿宋_GB2312" w:eastAsia="仿宋_GB2312" w:cs="仿宋_GB2312"/>
          <w:b/>
          <w:bCs w:val="0"/>
          <w:sz w:val="32"/>
          <w:szCs w:val="32"/>
          <w:highlight w:val="none"/>
        </w:rPr>
      </w:pPr>
      <w:r>
        <w:rPr>
          <w:rFonts w:hint="eastAsia" w:ascii="仿宋_GB2312" w:hAnsi="仿宋_GB2312" w:eastAsia="仿宋_GB2312" w:cs="仿宋_GB2312"/>
          <w:b/>
          <w:bCs w:val="0"/>
          <w:sz w:val="32"/>
          <w:szCs w:val="32"/>
          <w:highlight w:val="none"/>
        </w:rPr>
        <w:t>操作系统请使用WinXP/Win7/Win8;浏览器请使用IE8.0、IE9.0、IE10.0，其它操作系统与浏览器可能会影响您正常参与网上交易活动。数字证书驱动请到河南CA官方网站下载，并正确安装。请竞买人在竞买前仔细检查好自己电脑的运行环境，并先到网上交易模拟系统练习，以免影响您的报价、竞价。</w:t>
      </w:r>
    </w:p>
    <w:p>
      <w:pPr>
        <w:keepNext w:val="0"/>
        <w:keepLines w:val="0"/>
        <w:pageBreakBefore w:val="0"/>
        <w:widowControl w:val="0"/>
        <w:numPr>
          <w:ilvl w:val="0"/>
          <w:numId w:val="1"/>
        </w:numPr>
        <w:kinsoku/>
        <w:wordWrap/>
        <w:overflowPunct/>
        <w:topLinePunct w:val="0"/>
        <w:autoSpaceDE/>
        <w:autoSpaceDN/>
        <w:bidi w:val="0"/>
        <w:adjustRightInd/>
        <w:snapToGrid/>
        <w:spacing w:line="420" w:lineRule="exact"/>
        <w:ind w:left="0" w:leftChars="0"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本次国有建设用地使用权网上挂牌出让按照价高者得的原则（有底价的不得低于底价）确定竞得入选人。本次挂牌无底价。</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642"/>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竞买人应谨慎报价，报价一经提交，不得修改或撤回。网上挂牌报价截止之前，竞买人至少进行一次有效报价才有资格参加限时竞价。</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642"/>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sz w:val="32"/>
          <w:szCs w:val="32"/>
          <w:highlight w:val="none"/>
        </w:rPr>
        <w:t>四、本次网上挂牌出让的具体要求及详细资料见挂牌出让文件。</w:t>
      </w:r>
      <w:r>
        <w:rPr>
          <w:rFonts w:hint="eastAsia" w:ascii="仿宋_GB2312" w:hAnsi="仿宋_GB2312" w:eastAsia="仿宋_GB2312" w:cs="仿宋_GB2312"/>
          <w:spacing w:val="-11"/>
          <w:sz w:val="32"/>
          <w:szCs w:val="32"/>
          <w:highlight w:val="none"/>
        </w:rPr>
        <w:t>竞买人可于</w:t>
      </w:r>
      <w:r>
        <w:rPr>
          <w:rFonts w:hint="eastAsia" w:ascii="仿宋_GB2312" w:hAnsi="仿宋_GB2312" w:eastAsia="仿宋_GB2312" w:cs="仿宋_GB2312"/>
          <w:b/>
          <w:bCs/>
          <w:color w:val="000000"/>
          <w:spacing w:val="-11"/>
          <w:sz w:val="32"/>
          <w:szCs w:val="32"/>
          <w:highlight w:val="none"/>
          <w:u w:val="single"/>
          <w:lang w:eastAsia="zh-CN"/>
        </w:rPr>
        <w:t>202</w:t>
      </w:r>
      <w:r>
        <w:rPr>
          <w:rFonts w:hint="eastAsia" w:ascii="仿宋_GB2312" w:hAnsi="仿宋_GB2312" w:eastAsia="仿宋_GB2312" w:cs="仿宋_GB2312"/>
          <w:b/>
          <w:bCs/>
          <w:color w:val="000000"/>
          <w:spacing w:val="-11"/>
          <w:sz w:val="32"/>
          <w:szCs w:val="32"/>
          <w:highlight w:val="none"/>
          <w:u w:val="single"/>
          <w:lang w:val="en-US" w:eastAsia="zh-CN"/>
        </w:rPr>
        <w:t>6</w:t>
      </w:r>
      <w:r>
        <w:rPr>
          <w:rFonts w:hint="eastAsia" w:ascii="仿宋_GB2312" w:hAnsi="仿宋_GB2312" w:eastAsia="仿宋_GB2312" w:cs="仿宋_GB2312"/>
          <w:b/>
          <w:bCs/>
          <w:color w:val="000000"/>
          <w:spacing w:val="-11"/>
          <w:sz w:val="32"/>
          <w:szCs w:val="32"/>
          <w:highlight w:val="none"/>
          <w:u w:val="single"/>
          <w:lang w:eastAsia="zh-CN"/>
        </w:rPr>
        <w:t>年</w:t>
      </w:r>
      <w:r>
        <w:rPr>
          <w:rFonts w:hint="eastAsia" w:ascii="仿宋_GB2312" w:hAnsi="仿宋_GB2312" w:eastAsia="仿宋_GB2312" w:cs="仿宋_GB2312"/>
          <w:b/>
          <w:bCs/>
          <w:color w:val="000000"/>
          <w:spacing w:val="-11"/>
          <w:sz w:val="32"/>
          <w:szCs w:val="32"/>
          <w:highlight w:val="none"/>
          <w:u w:val="single"/>
          <w:lang w:val="en-US" w:eastAsia="zh-CN"/>
        </w:rPr>
        <w:t>09</w:t>
      </w:r>
      <w:r>
        <w:rPr>
          <w:rFonts w:hint="eastAsia" w:ascii="仿宋_GB2312" w:hAnsi="仿宋_GB2312" w:eastAsia="仿宋_GB2312" w:cs="仿宋_GB2312"/>
          <w:b/>
          <w:bCs/>
          <w:color w:val="000000"/>
          <w:spacing w:val="-11"/>
          <w:sz w:val="32"/>
          <w:szCs w:val="32"/>
          <w:highlight w:val="none"/>
          <w:u w:val="single"/>
          <w:lang w:eastAsia="zh-CN"/>
        </w:rPr>
        <w:t>月</w:t>
      </w:r>
      <w:r>
        <w:rPr>
          <w:rFonts w:hint="eastAsia" w:ascii="仿宋_GB2312" w:hAnsi="仿宋_GB2312" w:eastAsia="仿宋_GB2312" w:cs="仿宋_GB2312"/>
          <w:b/>
          <w:bCs/>
          <w:color w:val="000000"/>
          <w:spacing w:val="-11"/>
          <w:sz w:val="32"/>
          <w:szCs w:val="32"/>
          <w:highlight w:val="none"/>
          <w:u w:val="single"/>
          <w:lang w:val="en-US" w:eastAsia="zh-CN"/>
        </w:rPr>
        <w:t>30</w:t>
      </w:r>
      <w:r>
        <w:rPr>
          <w:rFonts w:hint="eastAsia" w:ascii="仿宋_GB2312" w:hAnsi="仿宋_GB2312" w:eastAsia="仿宋_GB2312" w:cs="仿宋_GB2312"/>
          <w:b/>
          <w:bCs/>
          <w:color w:val="000000"/>
          <w:spacing w:val="-11"/>
          <w:sz w:val="32"/>
          <w:szCs w:val="32"/>
          <w:highlight w:val="none"/>
          <w:u w:val="single"/>
          <w:lang w:eastAsia="zh-CN"/>
        </w:rPr>
        <w:t>日</w:t>
      </w:r>
      <w:r>
        <w:rPr>
          <w:rFonts w:hint="eastAsia" w:ascii="仿宋_GB2312" w:hAnsi="仿宋_GB2312" w:eastAsia="仿宋_GB2312" w:cs="仿宋_GB2312"/>
          <w:b/>
          <w:bCs/>
          <w:color w:val="000000"/>
          <w:spacing w:val="-11"/>
          <w:sz w:val="32"/>
          <w:szCs w:val="32"/>
          <w:highlight w:val="none"/>
          <w:u w:val="single"/>
          <w:lang w:val="en-US" w:eastAsia="zh-CN"/>
        </w:rPr>
        <w:t>09时00分</w:t>
      </w:r>
      <w:r>
        <w:rPr>
          <w:rFonts w:hint="eastAsia" w:ascii="仿宋_GB2312" w:hAnsi="仿宋_GB2312" w:eastAsia="仿宋_GB2312" w:cs="仿宋_GB2312"/>
          <w:b/>
          <w:bCs/>
          <w:color w:val="000000"/>
          <w:spacing w:val="-11"/>
          <w:sz w:val="32"/>
          <w:szCs w:val="32"/>
          <w:highlight w:val="none"/>
          <w:u w:val="single"/>
          <w:lang w:eastAsia="zh-CN"/>
        </w:rPr>
        <w:t>至202</w:t>
      </w:r>
      <w:r>
        <w:rPr>
          <w:rFonts w:hint="eastAsia" w:ascii="仿宋_GB2312" w:hAnsi="仿宋_GB2312" w:eastAsia="仿宋_GB2312" w:cs="仿宋_GB2312"/>
          <w:b/>
          <w:bCs/>
          <w:color w:val="000000"/>
          <w:spacing w:val="-11"/>
          <w:sz w:val="32"/>
          <w:szCs w:val="32"/>
          <w:highlight w:val="none"/>
          <w:u w:val="single"/>
          <w:lang w:val="en-US" w:eastAsia="zh-CN"/>
        </w:rPr>
        <w:t>6</w:t>
      </w:r>
      <w:r>
        <w:rPr>
          <w:rFonts w:hint="eastAsia" w:ascii="仿宋_GB2312" w:hAnsi="仿宋_GB2312" w:eastAsia="仿宋_GB2312" w:cs="仿宋_GB2312"/>
          <w:b/>
          <w:bCs/>
          <w:color w:val="000000"/>
          <w:spacing w:val="-11"/>
          <w:sz w:val="32"/>
          <w:szCs w:val="32"/>
          <w:highlight w:val="none"/>
          <w:u w:val="single"/>
          <w:lang w:eastAsia="zh-CN"/>
        </w:rPr>
        <w:t>年</w:t>
      </w:r>
      <w:r>
        <w:rPr>
          <w:rFonts w:hint="eastAsia" w:ascii="仿宋_GB2312" w:hAnsi="仿宋_GB2312" w:eastAsia="仿宋_GB2312" w:cs="仿宋_GB2312"/>
          <w:b/>
          <w:bCs/>
          <w:color w:val="000000"/>
          <w:spacing w:val="-11"/>
          <w:sz w:val="32"/>
          <w:szCs w:val="32"/>
          <w:highlight w:val="none"/>
          <w:u w:val="single"/>
          <w:lang w:val="en-US" w:eastAsia="zh-CN"/>
        </w:rPr>
        <w:t>10</w:t>
      </w:r>
      <w:r>
        <w:rPr>
          <w:rFonts w:hint="eastAsia" w:ascii="仿宋_GB2312" w:hAnsi="仿宋_GB2312" w:eastAsia="仿宋_GB2312" w:cs="仿宋_GB2312"/>
          <w:b/>
          <w:bCs/>
          <w:color w:val="000000"/>
          <w:spacing w:val="-11"/>
          <w:sz w:val="32"/>
          <w:szCs w:val="32"/>
          <w:highlight w:val="none"/>
          <w:u w:val="single"/>
          <w:lang w:eastAsia="zh-CN"/>
        </w:rPr>
        <w:t>月</w:t>
      </w:r>
      <w:r>
        <w:rPr>
          <w:rFonts w:hint="eastAsia" w:ascii="仿宋_GB2312" w:hAnsi="仿宋_GB2312" w:eastAsia="仿宋_GB2312" w:cs="仿宋_GB2312"/>
          <w:b/>
          <w:bCs/>
          <w:color w:val="000000"/>
          <w:spacing w:val="-11"/>
          <w:sz w:val="32"/>
          <w:szCs w:val="32"/>
          <w:highlight w:val="none"/>
          <w:u w:val="single"/>
          <w:lang w:val="en-US" w:eastAsia="zh-CN"/>
        </w:rPr>
        <w:t>27</w:t>
      </w:r>
      <w:r>
        <w:rPr>
          <w:rFonts w:hint="eastAsia" w:ascii="仿宋_GB2312" w:hAnsi="仿宋_GB2312" w:eastAsia="仿宋_GB2312" w:cs="仿宋_GB2312"/>
          <w:b/>
          <w:bCs/>
          <w:color w:val="000000"/>
          <w:spacing w:val="-11"/>
          <w:sz w:val="32"/>
          <w:szCs w:val="32"/>
          <w:highlight w:val="none"/>
          <w:u w:val="single"/>
          <w:lang w:eastAsia="zh-CN"/>
        </w:rPr>
        <w:t>日16时30分</w:t>
      </w:r>
      <w:r>
        <w:rPr>
          <w:rFonts w:hint="eastAsia" w:ascii="仿宋_GB2312" w:hAnsi="仿宋_GB2312" w:eastAsia="仿宋_GB2312" w:cs="仿宋_GB2312"/>
          <w:color w:val="000000"/>
          <w:spacing w:val="-11"/>
          <w:sz w:val="32"/>
          <w:szCs w:val="32"/>
          <w:highlight w:val="none"/>
        </w:rPr>
        <w:t>登陆</w:t>
      </w:r>
      <w:r>
        <w:rPr>
          <w:rFonts w:hint="eastAsia" w:ascii="仿宋_GB2312" w:hAnsi="仿宋_GB2312" w:eastAsia="仿宋_GB2312" w:cs="仿宋_GB2312"/>
          <w:bCs/>
          <w:color w:val="000000"/>
          <w:spacing w:val="-11"/>
          <w:sz w:val="32"/>
          <w:szCs w:val="32"/>
          <w:highlight w:val="none"/>
        </w:rPr>
        <w:t>“河南省土地使用权网上交易系统”</w:t>
      </w:r>
      <w:r>
        <w:rPr>
          <w:rFonts w:hint="eastAsia" w:ascii="仿宋_GB2312" w:hAnsi="仿宋_GB2312" w:eastAsia="仿宋_GB2312" w:cs="仿宋_GB2312"/>
          <w:color w:val="000000"/>
          <w:spacing w:val="-11"/>
          <w:sz w:val="32"/>
          <w:szCs w:val="32"/>
          <w:highlight w:val="none"/>
          <w:lang w:eastAsia="zh-CN"/>
        </w:rPr>
        <w:t>（https://td.hnsggzyjy.henan.gov.cn）</w:t>
      </w:r>
      <w:r>
        <w:rPr>
          <w:rFonts w:hint="eastAsia" w:ascii="仿宋_GB2312" w:hAnsi="仿宋_GB2312" w:eastAsia="仿宋_GB2312" w:cs="仿宋_GB2312"/>
          <w:color w:val="000000"/>
          <w:sz w:val="32"/>
          <w:szCs w:val="32"/>
          <w:highlight w:val="none"/>
        </w:rPr>
        <w:t>获取本次挂牌出让文件。</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640" w:firstLineChars="200"/>
        <w:textAlignment w:val="auto"/>
        <w:rPr>
          <w:rFonts w:hint="eastAsia" w:ascii="仿宋_GB2312" w:hAnsi="仿宋_GB2312" w:eastAsia="仿宋_GB2312" w:cs="仿宋_GB2312"/>
          <w:b/>
          <w:color w:val="000000"/>
          <w:sz w:val="32"/>
          <w:highlight w:val="none"/>
        </w:rPr>
      </w:pPr>
      <w:r>
        <w:rPr>
          <w:rFonts w:hint="eastAsia" w:ascii="仿宋_GB2312" w:hAnsi="仿宋_GB2312" w:eastAsia="仿宋_GB2312" w:cs="仿宋_GB2312"/>
          <w:color w:val="000000"/>
          <w:sz w:val="32"/>
          <w:highlight w:val="none"/>
        </w:rPr>
        <w:t>五、竞买人须于</w:t>
      </w:r>
      <w:r>
        <w:rPr>
          <w:rFonts w:hint="eastAsia" w:ascii="仿宋_GB2312" w:hAnsi="仿宋_GB2312" w:eastAsia="仿宋_GB2312" w:cs="仿宋_GB2312"/>
          <w:b/>
          <w:bCs/>
          <w:color w:val="000000"/>
          <w:spacing w:val="-11"/>
          <w:sz w:val="32"/>
          <w:szCs w:val="32"/>
          <w:highlight w:val="none"/>
          <w:u w:val="single"/>
          <w:lang w:eastAsia="zh-CN"/>
        </w:rPr>
        <w:t>2026年09月30日</w:t>
      </w:r>
      <w:r>
        <w:rPr>
          <w:rFonts w:hint="eastAsia" w:ascii="仿宋_GB2312" w:hAnsi="仿宋_GB2312" w:eastAsia="仿宋_GB2312" w:cs="仿宋_GB2312"/>
          <w:b/>
          <w:bCs/>
          <w:color w:val="000000"/>
          <w:spacing w:val="-11"/>
          <w:sz w:val="32"/>
          <w:szCs w:val="32"/>
          <w:highlight w:val="none"/>
          <w:u w:val="single"/>
          <w:lang w:val="en-US" w:eastAsia="zh-CN"/>
        </w:rPr>
        <w:t>09时00分</w:t>
      </w:r>
      <w:r>
        <w:rPr>
          <w:rFonts w:hint="eastAsia" w:ascii="仿宋_GB2312" w:hAnsi="仿宋_GB2312" w:eastAsia="仿宋_GB2312" w:cs="仿宋_GB2312"/>
          <w:b/>
          <w:bCs/>
          <w:color w:val="000000"/>
          <w:spacing w:val="-11"/>
          <w:sz w:val="32"/>
          <w:szCs w:val="32"/>
          <w:highlight w:val="none"/>
          <w:u w:val="single"/>
          <w:lang w:eastAsia="zh-CN"/>
        </w:rPr>
        <w:t>至2026年10月27日16时30分</w:t>
      </w:r>
      <w:r>
        <w:rPr>
          <w:rFonts w:hint="eastAsia" w:ascii="仿宋_GB2312" w:hAnsi="仿宋_GB2312" w:eastAsia="仿宋_GB2312" w:cs="仿宋_GB2312"/>
          <w:b/>
          <w:color w:val="000000"/>
          <w:sz w:val="32"/>
          <w:highlight w:val="none"/>
        </w:rPr>
        <w:t>（即竞买保证金到账截止日期）</w:t>
      </w:r>
      <w:r>
        <w:rPr>
          <w:rFonts w:hint="eastAsia" w:ascii="仿宋_GB2312" w:hAnsi="仿宋_GB2312" w:eastAsia="仿宋_GB2312" w:cs="仿宋_GB2312"/>
          <w:color w:val="000000"/>
          <w:sz w:val="32"/>
          <w:highlight w:val="none"/>
        </w:rPr>
        <w:t>前通过网上交易系统递交</w:t>
      </w:r>
      <w:r>
        <w:rPr>
          <w:rFonts w:hint="eastAsia" w:ascii="仿宋_GB2312" w:hAnsi="仿宋_GB2312" w:eastAsia="仿宋_GB2312" w:cs="仿宋_GB2312"/>
          <w:color w:val="auto"/>
          <w:sz w:val="32"/>
          <w:highlight w:val="none"/>
        </w:rPr>
        <w:t>《</w:t>
      </w:r>
      <w:r>
        <w:rPr>
          <w:rFonts w:hint="eastAsia" w:ascii="仿宋_GB2312" w:hAnsi="仿宋_GB2312" w:eastAsia="仿宋_GB2312" w:cs="仿宋_GB2312"/>
          <w:color w:val="auto"/>
          <w:sz w:val="32"/>
          <w:szCs w:val="32"/>
          <w:highlight w:val="none"/>
          <w:lang w:eastAsia="zh-CN"/>
        </w:rPr>
        <w:t>国有建设用地使用权挂牌出让</w:t>
      </w:r>
      <w:r>
        <w:rPr>
          <w:rFonts w:hint="eastAsia" w:ascii="仿宋_GB2312" w:hAnsi="仿宋_GB2312" w:eastAsia="仿宋_GB2312" w:cs="仿宋_GB2312"/>
          <w:color w:val="auto"/>
          <w:sz w:val="32"/>
          <w:highlight w:val="none"/>
        </w:rPr>
        <w:t>竞买申请书》</w:t>
      </w:r>
      <w:r>
        <w:rPr>
          <w:rFonts w:hint="eastAsia" w:ascii="仿宋_GB2312" w:hAnsi="仿宋_GB2312" w:eastAsia="仿宋_GB2312" w:cs="仿宋_GB2312"/>
          <w:color w:val="000000"/>
          <w:sz w:val="32"/>
          <w:highlight w:val="none"/>
        </w:rPr>
        <w:t>，竞买人根据网上交易系统内已有银行账号交纳竞买保证金，竞买保证金应于</w:t>
      </w:r>
      <w:r>
        <w:rPr>
          <w:rFonts w:hint="eastAsia" w:ascii="仿宋_GB2312" w:hAnsi="仿宋_GB2312" w:eastAsia="仿宋_GB2312" w:cs="仿宋_GB2312"/>
          <w:b/>
          <w:bCs/>
          <w:color w:val="000000"/>
          <w:sz w:val="32"/>
          <w:highlight w:val="none"/>
          <w:u w:val="single"/>
          <w:lang w:val="en-US" w:eastAsia="zh-CN"/>
        </w:rPr>
        <w:t>2026年10月27日</w:t>
      </w:r>
      <w:r>
        <w:rPr>
          <w:rFonts w:hint="eastAsia" w:ascii="仿宋_GB2312" w:hAnsi="仿宋_GB2312" w:eastAsia="仿宋_GB2312" w:cs="仿宋_GB2312"/>
          <w:b/>
          <w:bCs/>
          <w:color w:val="000000"/>
          <w:sz w:val="32"/>
          <w:szCs w:val="32"/>
          <w:highlight w:val="none"/>
          <w:u w:val="single"/>
          <w:lang w:eastAsia="zh-CN"/>
        </w:rPr>
        <w:t>16时30分前</w:t>
      </w:r>
      <w:r>
        <w:rPr>
          <w:rFonts w:hint="eastAsia" w:ascii="仿宋_GB2312" w:hAnsi="仿宋_GB2312" w:eastAsia="仿宋_GB2312" w:cs="仿宋_GB2312"/>
          <w:color w:val="000000"/>
          <w:sz w:val="32"/>
          <w:highlight w:val="none"/>
        </w:rPr>
        <w:t>足额交纳至系统内帐户，竞买资格确认时间为</w:t>
      </w:r>
      <w:r>
        <w:rPr>
          <w:rFonts w:hint="eastAsia" w:ascii="仿宋_GB2312" w:hAnsi="仿宋_GB2312" w:eastAsia="仿宋_GB2312" w:cs="仿宋_GB2312"/>
          <w:b/>
          <w:bCs/>
          <w:color w:val="000000"/>
          <w:sz w:val="32"/>
          <w:highlight w:val="none"/>
          <w:u w:val="single"/>
          <w:lang w:val="en-US" w:eastAsia="zh-CN"/>
        </w:rPr>
        <w:t>2026年10月27日</w:t>
      </w:r>
      <w:r>
        <w:rPr>
          <w:rFonts w:hint="eastAsia" w:ascii="仿宋_GB2312" w:hAnsi="仿宋_GB2312" w:eastAsia="仿宋_GB2312" w:cs="仿宋_GB2312"/>
          <w:b/>
          <w:bCs/>
          <w:color w:val="000000"/>
          <w:sz w:val="32"/>
          <w:szCs w:val="32"/>
          <w:highlight w:val="none"/>
          <w:u w:val="single"/>
          <w:lang w:eastAsia="zh-CN"/>
        </w:rPr>
        <w:t>17时</w:t>
      </w:r>
      <w:r>
        <w:rPr>
          <w:rFonts w:hint="eastAsia" w:ascii="仿宋_GB2312" w:hAnsi="仿宋_GB2312" w:eastAsia="仿宋_GB2312" w:cs="仿宋_GB2312"/>
          <w:b/>
          <w:bCs/>
          <w:color w:val="000000"/>
          <w:sz w:val="32"/>
          <w:szCs w:val="32"/>
          <w:highlight w:val="none"/>
          <w:u w:val="single"/>
          <w:lang w:val="en-US" w:eastAsia="zh-CN"/>
        </w:rPr>
        <w:t>00分</w:t>
      </w:r>
      <w:r>
        <w:rPr>
          <w:rFonts w:hint="eastAsia" w:ascii="仿宋_GB2312" w:hAnsi="仿宋_GB2312" w:eastAsia="仿宋_GB2312" w:cs="仿宋_GB2312"/>
          <w:b/>
          <w:bCs/>
          <w:color w:val="000000"/>
          <w:sz w:val="32"/>
          <w:szCs w:val="32"/>
          <w:highlight w:val="none"/>
          <w:u w:val="single"/>
          <w:lang w:eastAsia="zh-CN"/>
        </w:rPr>
        <w:t>前</w:t>
      </w:r>
      <w:r>
        <w:rPr>
          <w:rFonts w:hint="eastAsia" w:ascii="仿宋_GB2312" w:hAnsi="仿宋_GB2312" w:eastAsia="仿宋_GB2312" w:cs="仿宋_GB2312"/>
          <w:b/>
          <w:color w:val="000000"/>
          <w:sz w:val="32"/>
          <w:highlight w:val="none"/>
        </w:rPr>
        <w:t>。</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640" w:firstLineChars="200"/>
        <w:textAlignment w:val="auto"/>
        <w:rPr>
          <w:rFonts w:hint="eastAsia" w:ascii="仿宋_GB2312" w:hAnsi="仿宋_GB2312" w:eastAsia="仿宋_GB2312" w:cs="仿宋_GB2312"/>
          <w:b/>
          <w:sz w:val="32"/>
          <w:highlight w:val="none"/>
        </w:rPr>
      </w:pPr>
      <w:r>
        <w:rPr>
          <w:rFonts w:hint="eastAsia" w:ascii="仿宋_GB2312" w:hAnsi="仿宋_GB2312" w:eastAsia="仿宋_GB2312" w:cs="仿宋_GB2312"/>
          <w:b/>
          <w:bCs/>
          <w:sz w:val="32"/>
          <w:szCs w:val="32"/>
          <w:highlight w:val="none"/>
        </w:rPr>
        <w:t>温馨提示：为避免因竞买保证金到账时间延误，影响竞买人顺利获取网上交易竞买资格，建议竞买人至少在保证金到账截止时间的前2天交纳竞买保证金。</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竞买人在规定时间内足额交纳竞买保证金至系统内账户后，即获得竞买资格，竞得人可通过网上交易系统打印《</w:t>
      </w:r>
      <w:r>
        <w:rPr>
          <w:rFonts w:hint="eastAsia" w:ascii="仿宋_GB2312" w:hAnsi="仿宋_GB2312" w:eastAsia="仿宋_GB2312" w:cs="仿宋_GB2312"/>
          <w:sz w:val="32"/>
          <w:szCs w:val="32"/>
          <w:highlight w:val="none"/>
          <w:lang w:eastAsia="zh-CN"/>
        </w:rPr>
        <w:t>国有建设用地使用权挂牌出让竞买申请书</w:t>
      </w:r>
      <w:r>
        <w:rPr>
          <w:rFonts w:hint="eastAsia" w:ascii="仿宋_GB2312" w:hAnsi="仿宋_GB2312" w:eastAsia="仿宋_GB2312" w:cs="仿宋_GB2312"/>
          <w:sz w:val="32"/>
          <w:szCs w:val="32"/>
          <w:highlight w:val="none"/>
        </w:rPr>
        <w:t>》和《</w:t>
      </w:r>
      <w:r>
        <w:rPr>
          <w:rFonts w:hint="eastAsia" w:ascii="仿宋_GB2312" w:hAnsi="仿宋_GB2312" w:eastAsia="仿宋_GB2312" w:cs="仿宋_GB2312"/>
          <w:sz w:val="32"/>
          <w:szCs w:val="32"/>
          <w:highlight w:val="none"/>
          <w:lang w:eastAsia="zh-CN"/>
        </w:rPr>
        <w:t>国有建设用地使用权挂牌出让竞买保证金到账确认书</w:t>
      </w:r>
      <w:r>
        <w:rPr>
          <w:rFonts w:hint="eastAsia" w:ascii="仿宋_GB2312" w:hAnsi="仿宋_GB2312" w:eastAsia="仿宋_GB2312" w:cs="仿宋_GB2312"/>
          <w:sz w:val="32"/>
          <w:szCs w:val="32"/>
          <w:highlight w:val="none"/>
        </w:rPr>
        <w:t>》。未按时足额交纳竞买保证金的不能获得竞买资格。</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六、本次国有建设用地使用权网上挂牌在</w:t>
      </w:r>
      <w:r>
        <w:rPr>
          <w:rFonts w:hint="eastAsia" w:ascii="仿宋_GB2312" w:hAnsi="仿宋_GB2312" w:eastAsia="仿宋_GB2312" w:cs="仿宋_GB2312"/>
          <w:bCs/>
          <w:sz w:val="32"/>
          <w:szCs w:val="32"/>
          <w:highlight w:val="none"/>
        </w:rPr>
        <w:t>“河南省土地使用权网上交易系统”</w:t>
      </w:r>
      <w:r>
        <w:rPr>
          <w:rFonts w:hint="eastAsia" w:ascii="仿宋_GB2312" w:hAnsi="仿宋_GB2312" w:eastAsia="仿宋_GB2312" w:cs="仿宋_GB2312"/>
          <w:bCs/>
          <w:sz w:val="32"/>
          <w:szCs w:val="32"/>
          <w:highlight w:val="none"/>
          <w:lang w:val="en-US" w:eastAsia="zh-CN"/>
        </w:rPr>
        <w:t>中进行</w:t>
      </w:r>
      <w:r>
        <w:rPr>
          <w:rFonts w:hint="eastAsia" w:ascii="仿宋_GB2312" w:hAnsi="仿宋_GB2312" w:eastAsia="仿宋_GB2312" w:cs="仿宋_GB2312"/>
          <w:sz w:val="32"/>
          <w:szCs w:val="32"/>
          <w:highlight w:val="none"/>
        </w:rPr>
        <w:t>，挂牌</w:t>
      </w:r>
      <w:r>
        <w:rPr>
          <w:rFonts w:hint="eastAsia" w:ascii="仿宋_GB2312" w:hAnsi="仿宋_GB2312" w:eastAsia="仿宋_GB2312" w:cs="仿宋_GB2312"/>
          <w:sz w:val="32"/>
          <w:szCs w:val="32"/>
          <w:highlight w:val="none"/>
          <w:lang w:val="en-US" w:eastAsia="zh-CN"/>
        </w:rPr>
        <w:t>起止</w:t>
      </w:r>
      <w:r>
        <w:rPr>
          <w:rFonts w:hint="eastAsia" w:ascii="仿宋_GB2312" w:hAnsi="仿宋_GB2312" w:eastAsia="仿宋_GB2312" w:cs="仿宋_GB2312"/>
          <w:sz w:val="32"/>
          <w:szCs w:val="32"/>
          <w:highlight w:val="none"/>
        </w:rPr>
        <w:t>时间为：</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640" w:firstLineChars="200"/>
        <w:textAlignment w:val="auto"/>
        <w:rPr>
          <w:rFonts w:hint="eastAsia" w:ascii="仿宋_GB2312" w:hAnsi="仿宋_GB2312" w:eastAsia="仿宋_GB2312" w:cs="仿宋_GB2312"/>
          <w:b/>
          <w:bCs/>
          <w:sz w:val="32"/>
          <w:szCs w:val="32"/>
          <w:highlight w:val="none"/>
          <w:lang w:eastAsia="zh-CN"/>
        </w:rPr>
      </w:pPr>
      <w:r>
        <w:rPr>
          <w:rFonts w:hint="eastAsia" w:ascii="仿宋_GB2312" w:hAnsi="仿宋_GB2312" w:eastAsia="仿宋_GB2312" w:cs="仿宋_GB2312"/>
          <w:sz w:val="32"/>
          <w:szCs w:val="32"/>
          <w:highlight w:val="none"/>
          <w:lang w:val="en-US" w:eastAsia="zh-CN"/>
        </w:rPr>
        <w:t>YJ</w:t>
      </w:r>
      <w:r>
        <w:rPr>
          <w:rFonts w:hint="eastAsia" w:ascii="仿宋_GB2312" w:hAnsi="仿宋_GB2312" w:eastAsia="仿宋_GB2312" w:cs="仿宋_GB2312"/>
          <w:sz w:val="32"/>
          <w:szCs w:val="32"/>
          <w:highlight w:val="none"/>
          <w:lang w:eastAsia="zh-CN"/>
        </w:rPr>
        <w:t>202</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05</w:t>
      </w:r>
      <w:r>
        <w:rPr>
          <w:rFonts w:hint="eastAsia" w:ascii="仿宋_GB2312" w:hAnsi="仿宋_GB2312" w:eastAsia="仿宋_GB2312" w:cs="仿宋_GB2312"/>
          <w:sz w:val="32"/>
          <w:szCs w:val="32"/>
          <w:highlight w:val="none"/>
          <w:lang w:eastAsia="zh-CN"/>
        </w:rPr>
        <w:t>号</w:t>
      </w:r>
      <w:r>
        <w:rPr>
          <w:rFonts w:hint="eastAsia" w:ascii="仿宋_GB2312" w:hAnsi="仿宋_GB2312" w:eastAsia="仿宋_GB2312" w:cs="仿宋_GB2312"/>
          <w:sz w:val="32"/>
          <w:szCs w:val="32"/>
          <w:highlight w:val="none"/>
        </w:rPr>
        <w:t>宗地：</w:t>
      </w:r>
      <w:r>
        <w:rPr>
          <w:rFonts w:hint="eastAsia" w:ascii="仿宋_GB2312" w:hAnsi="仿宋_GB2312" w:eastAsia="仿宋_GB2312" w:cs="仿宋_GB2312"/>
          <w:b/>
          <w:bCs/>
          <w:color w:val="auto"/>
          <w:sz w:val="32"/>
          <w:szCs w:val="32"/>
          <w:highlight w:val="none"/>
          <w:u w:val="single"/>
          <w:lang w:eastAsia="zh-CN"/>
        </w:rPr>
        <w:t>2026年</w:t>
      </w:r>
      <w:r>
        <w:rPr>
          <w:rFonts w:hint="eastAsia" w:ascii="仿宋_GB2312" w:hAnsi="仿宋_GB2312" w:eastAsia="仿宋_GB2312" w:cs="仿宋_GB2312"/>
          <w:b/>
          <w:bCs/>
          <w:color w:val="auto"/>
          <w:sz w:val="32"/>
          <w:szCs w:val="32"/>
          <w:highlight w:val="none"/>
          <w:u w:val="single"/>
          <w:lang w:val="en-US" w:eastAsia="zh-CN"/>
        </w:rPr>
        <w:t>10</w:t>
      </w:r>
      <w:r>
        <w:rPr>
          <w:rFonts w:hint="eastAsia" w:ascii="仿宋_GB2312" w:hAnsi="仿宋_GB2312" w:eastAsia="仿宋_GB2312" w:cs="仿宋_GB2312"/>
          <w:b/>
          <w:bCs/>
          <w:color w:val="auto"/>
          <w:sz w:val="32"/>
          <w:szCs w:val="32"/>
          <w:highlight w:val="none"/>
          <w:u w:val="single"/>
          <w:lang w:eastAsia="zh-CN"/>
        </w:rPr>
        <w:t>月</w:t>
      </w:r>
      <w:r>
        <w:rPr>
          <w:rFonts w:hint="eastAsia" w:ascii="仿宋_GB2312" w:hAnsi="仿宋_GB2312" w:eastAsia="仿宋_GB2312" w:cs="仿宋_GB2312"/>
          <w:b/>
          <w:bCs/>
          <w:color w:val="auto"/>
          <w:sz w:val="32"/>
          <w:szCs w:val="32"/>
          <w:highlight w:val="none"/>
          <w:u w:val="single"/>
          <w:lang w:val="en-US" w:eastAsia="zh-CN"/>
        </w:rPr>
        <w:t>20</w:t>
      </w:r>
      <w:r>
        <w:rPr>
          <w:rFonts w:hint="eastAsia" w:ascii="仿宋_GB2312" w:hAnsi="仿宋_GB2312" w:eastAsia="仿宋_GB2312" w:cs="仿宋_GB2312"/>
          <w:b/>
          <w:bCs/>
          <w:color w:val="auto"/>
          <w:sz w:val="32"/>
          <w:szCs w:val="32"/>
          <w:highlight w:val="none"/>
          <w:u w:val="single"/>
          <w:lang w:eastAsia="zh-CN"/>
        </w:rPr>
        <w:t>日</w:t>
      </w:r>
      <w:r>
        <w:rPr>
          <w:rFonts w:hint="eastAsia" w:ascii="仿宋_GB2312" w:hAnsi="仿宋_GB2312" w:eastAsia="仿宋_GB2312" w:cs="仿宋_GB2312"/>
          <w:b/>
          <w:bCs/>
          <w:color w:val="auto"/>
          <w:sz w:val="32"/>
          <w:szCs w:val="32"/>
          <w:highlight w:val="none"/>
          <w:u w:val="single"/>
          <w:lang w:val="en-US" w:eastAsia="zh-CN"/>
        </w:rPr>
        <w:t>09时00分</w:t>
      </w:r>
      <w:r>
        <w:rPr>
          <w:rFonts w:hint="eastAsia" w:ascii="仿宋_GB2312" w:hAnsi="仿宋_GB2312" w:eastAsia="仿宋_GB2312" w:cs="仿宋_GB2312"/>
          <w:b/>
          <w:bCs/>
          <w:color w:val="auto"/>
          <w:sz w:val="32"/>
          <w:szCs w:val="32"/>
          <w:highlight w:val="none"/>
          <w:u w:val="none"/>
          <w:lang w:val="en-US" w:eastAsia="zh-CN"/>
        </w:rPr>
        <w:t>至</w:t>
      </w:r>
      <w:r>
        <w:rPr>
          <w:rFonts w:hint="eastAsia" w:ascii="仿宋_GB2312" w:hAnsi="仿宋_GB2312" w:eastAsia="仿宋_GB2312" w:cs="仿宋_GB2312"/>
          <w:b/>
          <w:bCs/>
          <w:color w:val="auto"/>
          <w:sz w:val="32"/>
          <w:szCs w:val="32"/>
          <w:highlight w:val="none"/>
          <w:u w:val="single"/>
          <w:lang w:eastAsia="zh-CN"/>
        </w:rPr>
        <w:t>2026年</w:t>
      </w:r>
      <w:r>
        <w:rPr>
          <w:rFonts w:hint="eastAsia" w:ascii="仿宋_GB2312" w:hAnsi="仿宋_GB2312" w:eastAsia="仿宋_GB2312" w:cs="仿宋_GB2312"/>
          <w:b/>
          <w:bCs/>
          <w:color w:val="auto"/>
          <w:sz w:val="32"/>
          <w:szCs w:val="32"/>
          <w:highlight w:val="none"/>
          <w:u w:val="single"/>
          <w:lang w:val="en-US" w:eastAsia="zh-CN"/>
        </w:rPr>
        <w:t>10</w:t>
      </w:r>
      <w:r>
        <w:rPr>
          <w:rFonts w:hint="eastAsia" w:ascii="仿宋_GB2312" w:hAnsi="仿宋_GB2312" w:eastAsia="仿宋_GB2312" w:cs="仿宋_GB2312"/>
          <w:b/>
          <w:bCs/>
          <w:color w:val="auto"/>
          <w:sz w:val="32"/>
          <w:szCs w:val="32"/>
          <w:highlight w:val="none"/>
          <w:u w:val="single"/>
          <w:lang w:eastAsia="zh-CN"/>
        </w:rPr>
        <w:t>月</w:t>
      </w:r>
      <w:r>
        <w:rPr>
          <w:rFonts w:hint="eastAsia" w:ascii="仿宋_GB2312" w:hAnsi="仿宋_GB2312" w:eastAsia="仿宋_GB2312" w:cs="仿宋_GB2312"/>
          <w:b/>
          <w:bCs/>
          <w:color w:val="auto"/>
          <w:sz w:val="32"/>
          <w:szCs w:val="32"/>
          <w:highlight w:val="none"/>
          <w:u w:val="single"/>
          <w:lang w:val="en-US" w:eastAsia="zh-CN"/>
        </w:rPr>
        <w:t>29</w:t>
      </w:r>
      <w:r>
        <w:rPr>
          <w:rFonts w:hint="eastAsia" w:ascii="仿宋_GB2312" w:hAnsi="仿宋_GB2312" w:eastAsia="仿宋_GB2312" w:cs="仿宋_GB2312"/>
          <w:b/>
          <w:bCs/>
          <w:color w:val="auto"/>
          <w:sz w:val="32"/>
          <w:szCs w:val="32"/>
          <w:highlight w:val="none"/>
          <w:u w:val="single"/>
          <w:lang w:eastAsia="zh-CN"/>
        </w:rPr>
        <w:t>日</w:t>
      </w:r>
      <w:r>
        <w:rPr>
          <w:rFonts w:hint="eastAsia" w:ascii="仿宋_GB2312" w:hAnsi="仿宋_GB2312" w:eastAsia="仿宋_GB2312" w:cs="仿宋_GB2312"/>
          <w:b/>
          <w:bCs/>
          <w:color w:val="auto"/>
          <w:sz w:val="32"/>
          <w:szCs w:val="32"/>
          <w:highlight w:val="none"/>
          <w:u w:val="single"/>
          <w:lang w:val="en-US" w:eastAsia="zh-CN"/>
        </w:rPr>
        <w:t>11时00分</w:t>
      </w:r>
      <w:r>
        <w:rPr>
          <w:rFonts w:hint="eastAsia" w:ascii="仿宋_GB2312" w:hAnsi="仿宋_GB2312" w:eastAsia="仿宋_GB2312" w:cs="仿宋_GB2312"/>
          <w:b/>
          <w:bCs/>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七、挂牌期限届满，网上交易系统自动显示最高报价，并询问竞买人是否愿意继续竞价。有竞买人表示愿意继续竞价的，挂牌出让转入网上限时竞价，通过网上限时竞价确定竞得入选人。没有竞买人表示愿意继续竞价的，按照下列规定确定竞得入选人：</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1.在挂牌期限内只有一个竞买人报价，无底价的情况下该竞买人为竞得入选人（有底价的不得低于底价）；</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2.在挂牌期限内有两个或者两个以上的竞买人报价的，报价最高者为竞得入选人（有底价的不得低于底价）；</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3.在挂牌期限内无报价者或竞买人的报价均低于底价的，挂牌不成交。</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640" w:firstLineChars="200"/>
        <w:textAlignment w:val="auto"/>
        <w:rPr>
          <w:rFonts w:hint="eastAsia" w:ascii="仿宋_GB2312" w:hAnsi="仿宋_GB2312" w:eastAsia="仿宋_GB2312" w:cs="仿宋_GB2312"/>
          <w:b/>
          <w:bCs/>
          <w:spacing w:val="-4"/>
          <w:sz w:val="32"/>
          <w:szCs w:val="32"/>
          <w:highlight w:val="none"/>
        </w:rPr>
      </w:pPr>
      <w:r>
        <w:rPr>
          <w:rFonts w:hint="eastAsia" w:ascii="仿宋_GB2312" w:hAnsi="仿宋_GB2312" w:eastAsia="仿宋_GB2312" w:cs="仿宋_GB2312"/>
          <w:sz w:val="32"/>
          <w:szCs w:val="32"/>
          <w:highlight w:val="none"/>
        </w:rPr>
        <w:t>八、网上挂牌出让活动结束</w:t>
      </w:r>
      <w:r>
        <w:rPr>
          <w:rFonts w:hint="eastAsia" w:ascii="仿宋_GB2312" w:hAnsi="仿宋_GB2312" w:eastAsia="仿宋_GB2312" w:cs="仿宋_GB2312"/>
          <w:spacing w:val="-4"/>
          <w:sz w:val="32"/>
          <w:szCs w:val="32"/>
          <w:highlight w:val="none"/>
        </w:rPr>
        <w:t>后3个工作日内，竞得入选人将网上竞得入选人证明和出让文件要求提交的相关资料，提交延津县公共资源交易中心进行审查。经审查无误后将竞得入选人确定为竞得人，由延津县公共资源交易中心与竞得人签订成交确认书。</w:t>
      </w:r>
      <w:r>
        <w:rPr>
          <w:rFonts w:hint="eastAsia" w:ascii="仿宋_GB2312" w:hAnsi="仿宋_GB2312" w:eastAsia="仿宋_GB2312" w:cs="仿宋_GB2312"/>
          <w:b/>
          <w:bCs/>
          <w:spacing w:val="-4"/>
          <w:sz w:val="32"/>
          <w:szCs w:val="32"/>
          <w:highlight w:val="none"/>
        </w:rPr>
        <w:t>如因竞得入选人的资格审查未通过，造成本次出让地块不成交的，由竞得入选人自行承担相应责任,竞买保证金不予退还。</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640" w:firstLineChars="200"/>
        <w:textAlignment w:val="auto"/>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sz w:val="32"/>
          <w:highlight w:val="none"/>
          <w:lang w:val="en-US" w:eastAsia="zh-CN"/>
        </w:rPr>
        <w:t>九、特别提示</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624" w:firstLineChars="200"/>
        <w:textAlignment w:val="auto"/>
        <w:rPr>
          <w:rFonts w:hint="eastAsia" w:ascii="仿宋_GB2312" w:hAnsi="仿宋_GB2312" w:eastAsia="仿宋_GB2312" w:cs="仿宋_GB2312"/>
          <w:b w:val="0"/>
          <w:bCs w:val="0"/>
          <w:sz w:val="32"/>
          <w:highlight w:val="none"/>
          <w:lang w:val="en-US" w:eastAsia="zh-CN"/>
        </w:rPr>
      </w:pPr>
      <w:r>
        <w:rPr>
          <w:rFonts w:hint="eastAsia" w:ascii="仿宋_GB2312" w:hAnsi="仿宋_GB2312" w:eastAsia="仿宋_GB2312" w:cs="仿宋_GB2312"/>
          <w:b/>
          <w:bCs/>
          <w:spacing w:val="-4"/>
          <w:sz w:val="32"/>
          <w:szCs w:val="32"/>
          <w:lang w:val="en-US" w:eastAsia="zh-CN"/>
        </w:rPr>
        <w:t>1.</w:t>
      </w:r>
      <w:r>
        <w:rPr>
          <w:rFonts w:hint="eastAsia" w:ascii="仿宋_GB2312" w:hAnsi="仿宋_GB2312" w:eastAsia="仿宋_GB2312" w:cs="仿宋_GB2312"/>
          <w:b/>
          <w:bCs/>
          <w:sz w:val="32"/>
          <w:szCs w:val="32"/>
          <w:lang w:val="en-US" w:eastAsia="zh-CN"/>
        </w:rPr>
        <w:t>本次出让为工业项目“标准地”出让，</w:t>
      </w:r>
      <w:r>
        <w:rPr>
          <w:rFonts w:hint="eastAsia" w:ascii="仿宋_GB2312" w:hAnsi="仿宋" w:eastAsia="仿宋_GB2312" w:cs="仿宋_GB2312"/>
          <w:b/>
          <w:bCs/>
          <w:kern w:val="0"/>
          <w:sz w:val="32"/>
          <w:szCs w:val="32"/>
          <w:lang w:val="en-US" w:eastAsia="zh-CN" w:bidi="ar-SA"/>
        </w:rPr>
        <w:t>产业准入类型为化学原料与化学制造业；固定投资强度不低于150万元/亩；项目达产后亩均税收≥10万元/亩；</w:t>
      </w:r>
      <w:r>
        <w:rPr>
          <w:rFonts w:hint="eastAsia" w:ascii="仿宋_GB2312" w:hAnsi="仿宋_GB2312" w:eastAsia="仿宋_GB2312" w:cs="仿宋_GB2312"/>
          <w:b/>
          <w:bCs/>
          <w:sz w:val="32"/>
          <w:szCs w:val="32"/>
          <w:lang w:val="en-US" w:eastAsia="zh-CN"/>
        </w:rPr>
        <w:t>应符合国家和省产业政策，不得设立涉及国家和省限制类、禁止类项目，环境标准符合园区规划环保要求和准入条件（开工前应按规定办理环保审批手续）。</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624" w:firstLineChars="200"/>
        <w:textAlignment w:val="auto"/>
        <w:rPr>
          <w:rFonts w:hint="eastAsia" w:ascii="仿宋_GB2312" w:hAnsi="仿宋_GB2312" w:eastAsia="仿宋_GB2312" w:cs="仿宋_GB2312"/>
          <w:b/>
          <w:bCs/>
          <w:spacing w:val="-4"/>
          <w:sz w:val="32"/>
          <w:szCs w:val="32"/>
          <w:lang w:val="en-US" w:eastAsia="zh-CN"/>
        </w:rPr>
      </w:pPr>
      <w:r>
        <w:rPr>
          <w:rFonts w:hint="eastAsia" w:ascii="仿宋_GB2312" w:hAnsi="仿宋_GB2312" w:eastAsia="仿宋_GB2312" w:cs="仿宋_GB2312"/>
          <w:b/>
          <w:bCs/>
          <w:spacing w:val="-4"/>
          <w:sz w:val="32"/>
          <w:szCs w:val="32"/>
          <w:lang w:val="en-US" w:eastAsia="zh-CN"/>
        </w:rPr>
        <w:t>2.</w:t>
      </w:r>
      <w:r>
        <w:rPr>
          <w:rFonts w:hint="eastAsia" w:ascii="仿宋_GB2312" w:hAnsi="仿宋_GB2312" w:eastAsia="仿宋_GB2312" w:cs="仿宋_GB2312"/>
          <w:b/>
          <w:bCs/>
          <w:sz w:val="32"/>
          <w:szCs w:val="32"/>
          <w:lang w:val="en-US" w:eastAsia="zh-CN"/>
        </w:rPr>
        <w:t>竞得人签订《国有建设用地使用权出让合同》的同时，须与县先进制造业开发区管委会同步签订《工业项目“标准地”履约监管协议》、《“标准地”企业信用承诺》，明确约定期限内应满足的开发建设条件，投产、达产要求以及达不到约定标准应承担的违约责任，直至项目退出等管理内容。</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624" w:firstLineChars="200"/>
        <w:textAlignment w:val="auto"/>
        <w:rPr>
          <w:rFonts w:hint="eastAsia" w:ascii="仿宋_GB2312" w:hAnsi="仿宋_GB2312" w:eastAsia="仿宋_GB2312" w:cs="仿宋_GB2312"/>
          <w:b/>
          <w:bCs/>
          <w:spacing w:val="-4"/>
          <w:sz w:val="32"/>
          <w:szCs w:val="32"/>
          <w:lang w:val="en-US" w:eastAsia="zh-CN"/>
        </w:rPr>
      </w:pPr>
      <w:r>
        <w:rPr>
          <w:rFonts w:hint="eastAsia" w:ascii="仿宋_GB2312" w:hAnsi="仿宋_GB2312" w:eastAsia="仿宋_GB2312" w:cs="仿宋_GB2312"/>
          <w:b/>
          <w:bCs/>
          <w:spacing w:val="-4"/>
          <w:sz w:val="32"/>
          <w:szCs w:val="32"/>
          <w:lang w:val="en-US" w:eastAsia="zh-CN"/>
        </w:rPr>
        <w:t>3.根据延津县人防工程建设规划和有关规定，相应宗地内新建建筑工程要满足乙类常六级防护级别等其他人防功能设计要求。</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624" w:firstLineChars="200"/>
        <w:textAlignment w:val="auto"/>
        <w:rPr>
          <w:rFonts w:hint="default" w:ascii="仿宋_GB2312" w:hAnsi="仿宋_GB2312" w:eastAsia="仿宋_GB2312" w:cs="仿宋_GB2312"/>
          <w:b/>
          <w:bCs/>
          <w:spacing w:val="-4"/>
          <w:sz w:val="32"/>
          <w:szCs w:val="32"/>
          <w:lang w:val="en-US" w:eastAsia="zh-CN"/>
        </w:rPr>
      </w:pPr>
      <w:r>
        <w:rPr>
          <w:rFonts w:hint="eastAsia" w:ascii="仿宋_GB2312" w:hAnsi="仿宋_GB2312" w:eastAsia="仿宋_GB2312" w:cs="仿宋_GB2312"/>
          <w:b/>
          <w:bCs/>
          <w:spacing w:val="-4"/>
          <w:sz w:val="32"/>
          <w:szCs w:val="32"/>
          <w:lang w:val="en-US" w:eastAsia="zh-CN"/>
        </w:rPr>
        <w:t>4.根据《河南省自然资源厅关于进一步规范土地出让管理工作的通知》文件要求，土地使用权取得后两年内抵押金额不得超过成交价款。</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十、</w:t>
      </w:r>
      <w:r>
        <w:rPr>
          <w:rFonts w:hint="eastAsia" w:ascii="仿宋_GB2312" w:hAnsi="仿宋_GB2312" w:eastAsia="仿宋_GB2312" w:cs="仿宋_GB2312"/>
          <w:sz w:val="32"/>
          <w:szCs w:val="32"/>
          <w:highlight w:val="none"/>
        </w:rPr>
        <w:t>联系方式</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联系地址：延津县公共资源交易中心（延津县人民路与科技路交叉口向北100米路东）</w:t>
      </w:r>
    </w:p>
    <w:p>
      <w:pPr>
        <w:keepNext w:val="0"/>
        <w:keepLines w:val="0"/>
        <w:pageBreakBefore w:val="0"/>
        <w:widowControl w:val="0"/>
        <w:kinsoku/>
        <w:wordWrap/>
        <w:overflowPunct/>
        <w:topLinePunct w:val="0"/>
        <w:autoSpaceDE/>
        <w:autoSpaceDN/>
        <w:bidi w:val="0"/>
        <w:adjustRightInd/>
        <w:snapToGrid/>
        <w:spacing w:line="420" w:lineRule="exact"/>
        <w:ind w:left="638" w:leftChars="304" w:firstLine="0" w:firstLineChars="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联系电话：</w:t>
      </w:r>
      <w:r>
        <w:rPr>
          <w:rFonts w:hint="eastAsia" w:ascii="仿宋_GB2312" w:hAnsi="仿宋_GB2312" w:eastAsia="仿宋_GB2312" w:cs="仿宋_GB2312"/>
          <w:sz w:val="32"/>
          <w:szCs w:val="32"/>
          <w:highlight w:val="none"/>
          <w:lang w:val="en-US" w:eastAsia="zh-CN"/>
        </w:rPr>
        <w:t xml:space="preserve">0373-7623017 </w:t>
      </w:r>
      <w:r>
        <w:rPr>
          <w:rFonts w:hint="eastAsia" w:ascii="仿宋_GB2312" w:hAnsi="仿宋_GB2312" w:eastAsia="仿宋_GB2312" w:cs="仿宋_GB2312"/>
          <w:sz w:val="32"/>
          <w:szCs w:val="32"/>
          <w:highlight w:val="none"/>
        </w:rPr>
        <w:t xml:space="preserve"> 0373-710685</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br w:type="textWrapping"/>
      </w:r>
      <w:r>
        <w:rPr>
          <w:rFonts w:hint="eastAsia" w:ascii="仿宋_GB2312" w:hAnsi="仿宋_GB2312" w:eastAsia="仿宋_GB2312" w:cs="仿宋_GB2312"/>
          <w:sz w:val="32"/>
          <w:szCs w:val="32"/>
          <w:highlight w:val="none"/>
        </w:rPr>
        <w:t>联 系 人：</w:t>
      </w:r>
      <w:r>
        <w:rPr>
          <w:rFonts w:hint="eastAsia" w:ascii="仿宋_GB2312" w:hAnsi="仿宋_GB2312" w:eastAsia="仿宋_GB2312" w:cs="仿宋_GB2312"/>
          <w:sz w:val="32"/>
          <w:szCs w:val="32"/>
          <w:highlight w:val="none"/>
          <w:lang w:val="en-US" w:eastAsia="zh-CN"/>
        </w:rPr>
        <w:t xml:space="preserve">韩先生 </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张先生</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中国土地市场网网址：</w:t>
      </w:r>
      <w:r>
        <w:rPr>
          <w:rFonts w:hint="eastAsia" w:ascii="仿宋_GB2312" w:hAnsi="仿宋_GB2312" w:eastAsia="仿宋_GB2312" w:cs="仿宋_GB2312"/>
          <w:color w:val="auto"/>
          <w:sz w:val="32"/>
          <w:szCs w:val="32"/>
          <w:highlight w:val="none"/>
          <w:u w:val="none"/>
        </w:rPr>
        <w:t>http://www.l</w:t>
      </w:r>
      <w:bookmarkStart w:id="0" w:name="_Hlt446599513"/>
      <w:r>
        <w:rPr>
          <w:rFonts w:hint="eastAsia" w:ascii="仿宋_GB2312" w:hAnsi="仿宋_GB2312" w:eastAsia="仿宋_GB2312" w:cs="仿宋_GB2312"/>
          <w:color w:val="auto"/>
          <w:sz w:val="32"/>
          <w:szCs w:val="32"/>
          <w:highlight w:val="none"/>
          <w:u w:val="none"/>
        </w:rPr>
        <w:t>a</w:t>
      </w:r>
      <w:bookmarkEnd w:id="0"/>
      <w:r>
        <w:rPr>
          <w:rFonts w:hint="eastAsia" w:ascii="仿宋_GB2312" w:hAnsi="仿宋_GB2312" w:eastAsia="仿宋_GB2312" w:cs="仿宋_GB2312"/>
          <w:color w:val="auto"/>
          <w:sz w:val="32"/>
          <w:szCs w:val="32"/>
          <w:highlight w:val="none"/>
          <w:u w:val="none"/>
        </w:rPr>
        <w:t>ndchina.com</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640" w:firstLineChars="200"/>
        <w:textAlignment w:val="auto"/>
        <w:rPr>
          <w:rFonts w:hint="eastAsia" w:ascii="仿宋_GB2312" w:hAnsi="仿宋_GB2312" w:eastAsia="仿宋_GB2312" w:cs="仿宋_GB2312"/>
          <w:sz w:val="32"/>
          <w:szCs w:val="32"/>
          <w:highlight w:val="none"/>
          <w:u w:val="none"/>
        </w:rPr>
      </w:pPr>
      <w:r>
        <w:rPr>
          <w:rFonts w:hint="eastAsia" w:ascii="仿宋_GB2312" w:hAnsi="仿宋_GB2312" w:eastAsia="仿宋_GB2312" w:cs="仿宋_GB2312"/>
          <w:sz w:val="32"/>
          <w:szCs w:val="32"/>
          <w:highlight w:val="none"/>
          <w:lang w:val="en-US" w:eastAsia="zh-CN"/>
        </w:rPr>
        <w:t>河南省土地使用权网上交易系统</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新</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color w:val="auto"/>
          <w:sz w:val="32"/>
          <w:szCs w:val="32"/>
          <w:highlight w:val="none"/>
          <w:u w:val="none"/>
        </w:rPr>
        <w:t>https://td.hnsggzyjy.henan.gov.cn</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延津县公共资源交易中心网址</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新</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：http://ggzy.xinxiang.gov.cn/</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640" w:firstLineChars="200"/>
        <w:jc w:val="righ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延津县</w:t>
      </w:r>
      <w:r>
        <w:rPr>
          <w:rFonts w:hint="eastAsia" w:ascii="仿宋_GB2312" w:hAnsi="仿宋_GB2312" w:eastAsia="仿宋_GB2312" w:cs="仿宋_GB2312"/>
          <w:sz w:val="32"/>
          <w:szCs w:val="32"/>
          <w:highlight w:val="none"/>
          <w:lang w:val="en-US" w:eastAsia="zh-CN"/>
        </w:rPr>
        <w:t>自然</w:t>
      </w:r>
      <w:r>
        <w:rPr>
          <w:rFonts w:hint="eastAsia" w:ascii="仿宋_GB2312" w:hAnsi="仿宋_GB2312" w:eastAsia="仿宋_GB2312" w:cs="仿宋_GB2312"/>
          <w:sz w:val="32"/>
          <w:szCs w:val="32"/>
          <w:highlight w:val="none"/>
        </w:rPr>
        <w:t>资源局</w:t>
      </w:r>
    </w:p>
    <w:p>
      <w:pPr>
        <w:keepNext w:val="0"/>
        <w:keepLines w:val="0"/>
        <w:pageBreakBefore w:val="0"/>
        <w:widowControl w:val="0"/>
        <w:kinsoku/>
        <w:wordWrap/>
        <w:overflowPunct/>
        <w:topLinePunct w:val="0"/>
        <w:autoSpaceDE/>
        <w:autoSpaceDN/>
        <w:bidi w:val="0"/>
        <w:adjustRightInd/>
        <w:snapToGrid/>
        <w:spacing w:line="420" w:lineRule="exact"/>
        <w:ind w:left="0" w:leftChars="0"/>
        <w:jc w:val="right"/>
        <w:textAlignment w:val="auto"/>
        <w:rPr>
          <w:rFonts w:hint="eastAsia" w:ascii="仿宋_GB2312" w:hAnsi="仿宋_GB2312" w:eastAsia="仿宋_GB2312" w:cs="仿宋_GB2312"/>
          <w:b/>
          <w:sz w:val="36"/>
          <w:szCs w:val="36"/>
          <w:highlight w:val="none"/>
          <w:lang w:eastAsia="zh-CN"/>
        </w:rPr>
        <w:sectPr>
          <w:headerReference r:id="rId3" w:type="default"/>
          <w:footerReference r:id="rId4" w:type="default"/>
          <w:pgSz w:w="16838" w:h="11906" w:orient="landscape"/>
          <w:pgMar w:top="1474" w:right="1701" w:bottom="1588" w:left="1701" w:header="851" w:footer="992" w:gutter="0"/>
          <w:pgNumType w:fmt="numberInDash"/>
          <w:cols w:space="720" w:num="1"/>
          <w:docGrid w:type="linesAndChars" w:linePitch="312" w:charSpace="0"/>
        </w:sectPr>
      </w:pP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eastAsia="zh-CN"/>
        </w:rPr>
        <w:t>2026年</w:t>
      </w: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lang w:eastAsia="zh-CN"/>
        </w:rPr>
        <w:t>月</w:t>
      </w:r>
      <w:r>
        <w:rPr>
          <w:rFonts w:hint="eastAsia" w:ascii="仿宋_GB2312" w:hAnsi="仿宋_GB2312" w:eastAsia="仿宋_GB2312" w:cs="仿宋_GB2312"/>
          <w:sz w:val="32"/>
          <w:szCs w:val="32"/>
          <w:highlight w:val="none"/>
          <w:lang w:val="en-US" w:eastAsia="zh-CN"/>
        </w:rPr>
        <w:t>30</w:t>
      </w:r>
      <w:r>
        <w:rPr>
          <w:rFonts w:hint="eastAsia" w:ascii="仿宋_GB2312" w:hAnsi="仿宋_GB2312" w:eastAsia="仿宋_GB2312" w:cs="仿宋_GB2312"/>
          <w:sz w:val="32"/>
          <w:szCs w:val="32"/>
          <w:highlight w:val="none"/>
          <w:lang w:eastAsia="zh-CN"/>
        </w:rPr>
        <w:t>日</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文星简小标宋" w:hAnsi="文星简小标宋" w:eastAsia="文星简小标宋" w:cs="文星简小标宋"/>
          <w:b w:val="0"/>
          <w:bCs/>
          <w:sz w:val="44"/>
          <w:szCs w:val="44"/>
          <w:highlight w:val="none"/>
        </w:rPr>
      </w:pPr>
      <w:r>
        <w:rPr>
          <w:rFonts w:hint="eastAsia" w:ascii="方正小标宋简体" w:hAnsi="方正小标宋简体" w:eastAsia="方正小标宋简体" w:cs="方正小标宋简体"/>
          <w:b w:val="0"/>
          <w:bCs/>
          <w:sz w:val="44"/>
          <w:szCs w:val="44"/>
          <w:highlight w:val="none"/>
        </w:rPr>
        <w:t>国有建设用地使用权挂牌出让须知</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 w:eastAsia="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根据《中华人民共和国土地管理法》、《中华人民共和国城市房地产管理法》、《招标拍卖挂牌出让国有建设用地使用权规定》、《招标拍卖挂牌出让国有土地使用权规范》以及《河南省人民政府办公厅关于转发河南省国有建设用地使用权网上交易管理办法的通知》等有关规定。经延津县人民政府批准，延津县自然资源局决定以网上挂牌方式出让1宗国有建设用地使用权。</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一、本次国有建设用地使用权网上挂牌出让的出让人为延津县</w:t>
      </w:r>
      <w:r>
        <w:rPr>
          <w:rFonts w:hint="eastAsia" w:ascii="仿宋_GB2312" w:hAnsi="仿宋_GB2312" w:eastAsia="仿宋_GB2312" w:cs="仿宋_GB2312"/>
          <w:b/>
          <w:bCs/>
          <w:sz w:val="32"/>
          <w:szCs w:val="32"/>
          <w:highlight w:val="none"/>
          <w:lang w:val="en-US" w:eastAsia="zh-CN"/>
        </w:rPr>
        <w:t>自然</w:t>
      </w:r>
      <w:r>
        <w:rPr>
          <w:rFonts w:hint="eastAsia" w:ascii="仿宋_GB2312" w:hAnsi="仿宋_GB2312" w:eastAsia="仿宋_GB2312" w:cs="仿宋_GB2312"/>
          <w:b/>
          <w:bCs/>
          <w:sz w:val="32"/>
          <w:szCs w:val="32"/>
          <w:highlight w:val="none"/>
        </w:rPr>
        <w:t>资源局，并委托延津县公共资源交易中心办理具体网上挂牌事宜。</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b w:val="0"/>
          <w:bCs w:val="0"/>
          <w:sz w:val="32"/>
          <w:szCs w:val="32"/>
          <w:highlight w:val="none"/>
        </w:rPr>
      </w:pPr>
      <w:r>
        <w:rPr>
          <w:rFonts w:hint="eastAsia" w:ascii="仿宋_GB2312" w:hAnsi="仿宋_GB2312" w:eastAsia="仿宋_GB2312" w:cs="仿宋_GB2312"/>
          <w:b/>
          <w:bCs/>
          <w:sz w:val="32"/>
          <w:szCs w:val="32"/>
          <w:highlight w:val="none"/>
        </w:rPr>
        <w:t>二、本次国有建设用地使用权网上挂牌出让遵循公开、公平、公正和诚实守信、安全高效的原则。</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bCs/>
          <w:sz w:val="32"/>
          <w:szCs w:val="32"/>
          <w:highlight w:val="none"/>
        </w:rPr>
        <w:t>三、</w:t>
      </w:r>
      <w:r>
        <w:rPr>
          <w:rFonts w:hint="eastAsia" w:ascii="仿宋_GB2312" w:hAnsi="仿宋_GB2312" w:eastAsia="仿宋_GB2312" w:cs="仿宋_GB2312"/>
          <w:b/>
          <w:bCs/>
          <w:sz w:val="32"/>
          <w:szCs w:val="32"/>
          <w:highlight w:val="none"/>
          <w:lang w:val="en-US" w:eastAsia="zh-CN"/>
        </w:rPr>
        <w:t>宗地的基本情况及规划指标要求</w:t>
      </w:r>
      <w:r>
        <w:rPr>
          <w:rFonts w:hint="eastAsia" w:ascii="仿宋_GB2312" w:hAnsi="仿宋_GB2312" w:eastAsia="仿宋_GB2312" w:cs="仿宋_GB2312"/>
          <w:b w:val="0"/>
          <w:bCs w:val="0"/>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YJ2026-05号宗地的基本情况及规划指标要求：</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1.宗地位置：</w:t>
      </w:r>
      <w:r>
        <w:rPr>
          <w:rFonts w:hint="eastAsia" w:ascii="仿宋_GB2312" w:hAnsi="仿宋_GB2312" w:eastAsia="仿宋_GB2312" w:cs="仿宋_GB2312"/>
          <w:b w:val="0"/>
          <w:bCs/>
          <w:kern w:val="0"/>
          <w:sz w:val="32"/>
          <w:szCs w:val="32"/>
          <w:lang w:val="en-US" w:eastAsia="zh-CN" w:bidi="ar-SA"/>
        </w:rPr>
        <w:t>开发区北区纬三路与规划二路东北角</w:t>
      </w:r>
      <w:r>
        <w:rPr>
          <w:rFonts w:hint="eastAsia" w:ascii="仿宋_GB2312" w:hAnsi="仿宋_GB2312" w:eastAsia="仿宋_GB2312" w:cs="仿宋_GB2312"/>
          <w:spacing w:val="-6"/>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2.土地面积：</w:t>
      </w:r>
      <w:r>
        <w:rPr>
          <w:rFonts w:hint="eastAsia" w:ascii="仿宋_GB2312" w:hAnsi="仿宋_GB2312" w:eastAsia="仿宋_GB2312" w:cs="仿宋_GB2312"/>
          <w:b w:val="0"/>
          <w:bCs/>
          <w:kern w:val="0"/>
          <w:sz w:val="32"/>
          <w:szCs w:val="32"/>
          <w:lang w:val="en-US" w:eastAsia="zh-CN" w:bidi="ar-SA"/>
        </w:rPr>
        <w:t>73614.74平方米（约110.42亩）</w:t>
      </w:r>
      <w:r>
        <w:rPr>
          <w:rFonts w:hint="eastAsia" w:ascii="仿宋_GB2312" w:hAnsi="仿宋_GB2312" w:eastAsia="仿宋_GB2312" w:cs="仿宋_GB2312"/>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3.土地用途：</w:t>
      </w:r>
      <w:r>
        <w:rPr>
          <w:rFonts w:hint="eastAsia" w:ascii="仿宋_GB2312" w:hAnsi="仿宋_GB2312" w:eastAsia="仿宋_GB2312" w:cs="仿宋_GB2312"/>
          <w:b w:val="0"/>
          <w:bCs/>
          <w:kern w:val="0"/>
          <w:sz w:val="32"/>
          <w:szCs w:val="32"/>
          <w:lang w:val="en-US" w:eastAsia="zh-CN" w:bidi="ar-SA"/>
        </w:rPr>
        <w:t>三类工业用地</w:t>
      </w:r>
      <w:r>
        <w:rPr>
          <w:rFonts w:hint="eastAsia" w:ascii="仿宋_GB2312" w:hAnsi="仿宋_GB2312" w:eastAsia="仿宋_GB2312" w:cs="仿宋_GB2312"/>
          <w:b w:val="0"/>
          <w:bCs w:val="0"/>
          <w:color w:val="000000"/>
          <w:kern w:val="2"/>
          <w:sz w:val="32"/>
          <w:szCs w:val="32"/>
          <w:u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4.容积率：</w:t>
      </w:r>
      <w:r>
        <w:rPr>
          <w:rFonts w:hint="eastAsia" w:ascii="仿宋_GB2312" w:hAnsi="仿宋" w:eastAsia="仿宋_GB2312" w:cs="仿宋_GB2312"/>
          <w:b w:val="0"/>
          <w:bCs/>
          <w:kern w:val="0"/>
          <w:sz w:val="32"/>
          <w:szCs w:val="32"/>
          <w:lang w:val="en-US" w:eastAsia="zh-CN" w:bidi="ar-SA"/>
        </w:rPr>
        <w:t>≥0.6；</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5.建筑密度：</w:t>
      </w:r>
      <w:r>
        <w:rPr>
          <w:rFonts w:hint="eastAsia" w:ascii="仿宋_GB2312" w:hAnsi="仿宋" w:eastAsia="仿宋_GB2312" w:cs="仿宋_GB2312"/>
          <w:b w:val="0"/>
          <w:bCs/>
          <w:kern w:val="0"/>
          <w:sz w:val="32"/>
          <w:szCs w:val="32"/>
          <w:lang w:val="en-US" w:eastAsia="zh-CN" w:bidi="ar-SA"/>
        </w:rPr>
        <w:t>≥40%</w:t>
      </w:r>
      <w:r>
        <w:rPr>
          <w:rFonts w:hint="eastAsia" w:ascii="仿宋_GB2312" w:hAnsi="仿宋_GB2312" w:eastAsia="仿宋_GB2312" w:cs="仿宋_GB2312"/>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6.绿地率：</w:t>
      </w:r>
      <w:r>
        <w:rPr>
          <w:rFonts w:hint="eastAsia" w:ascii="仿宋_GB2312" w:hAnsi="仿宋" w:eastAsia="仿宋_GB2312" w:cs="仿宋_GB2312"/>
          <w:b w:val="0"/>
          <w:bCs/>
          <w:kern w:val="0"/>
          <w:sz w:val="32"/>
          <w:szCs w:val="32"/>
          <w:lang w:val="en-US" w:eastAsia="zh-CN" w:bidi="ar-SA"/>
        </w:rPr>
        <w:t>≤20%</w:t>
      </w:r>
      <w:r>
        <w:rPr>
          <w:rFonts w:hint="eastAsia" w:ascii="仿宋_GB2312" w:hAnsi="仿宋_GB2312" w:eastAsia="仿宋_GB2312" w:cs="仿宋_GB2312"/>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7.建筑高度：≤80m；</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8.竞买保证金：994万元；</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9.起始价：18万元/亩；</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rPr>
        <w:t>.增价幅度：1万元/亩</w:t>
      </w:r>
      <w:r>
        <w:rPr>
          <w:rFonts w:hint="eastAsia" w:ascii="仿宋_GB2312" w:hAnsi="仿宋_GB2312" w:eastAsia="仿宋_GB2312" w:cs="仿宋_GB2312"/>
          <w:sz w:val="32"/>
          <w:szCs w:val="32"/>
          <w:highlight w:val="none"/>
          <w:lang w:val="en-US" w:eastAsia="zh-CN"/>
        </w:rPr>
        <w:t>或其整倍数</w:t>
      </w:r>
      <w:r>
        <w:rPr>
          <w:rFonts w:hint="eastAsia" w:ascii="仿宋_GB2312" w:hAnsi="仿宋_GB2312" w:eastAsia="仿宋_GB2312" w:cs="仿宋_GB2312"/>
          <w:sz w:val="32"/>
          <w:szCs w:val="32"/>
          <w:highlight w:val="none"/>
        </w:rPr>
        <w:t>；</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5"/>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.出让年期：</w:t>
      </w:r>
      <w:r>
        <w:rPr>
          <w:rFonts w:hint="eastAsia" w:ascii="仿宋_GB2312" w:hAnsi="仿宋_GB2312" w:eastAsia="仿宋_GB2312" w:cs="仿宋_GB2312"/>
          <w:sz w:val="32"/>
          <w:szCs w:val="32"/>
          <w:lang w:val="en-US" w:eastAsia="zh-CN"/>
        </w:rPr>
        <w:t>50年</w:t>
      </w:r>
      <w:r>
        <w:rPr>
          <w:rFonts w:hint="eastAsia" w:ascii="仿宋_GB2312" w:hAnsi="仿宋_GB2312" w:eastAsia="仿宋_GB2312" w:cs="仿宋_GB2312"/>
          <w:sz w:val="32"/>
          <w:szCs w:val="32"/>
          <w:highlight w:val="none"/>
        </w:rPr>
        <w:t>。</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四、竞买资格及要求</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1.中华人民共和国境内外的法人及其他经济组织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禁止自然人参与竞买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均可申请参加网上竞买活动。但法律法规另有规定及存在伪造公文骗取用地手续和非法倒卖土地等犯罪行为、非法转让土地使用权等违法行为、因企业原因造成土地闲置一年以上、违背出让合同约定条件开发利用土地、擅自改变保障性安居工程用地用途搞商品房开发、拖欠土地出让金等情形之一的企业及其他经济组织，在违法违规违约行为处理完毕之前，该企业（包括其控股股东及其控股股东新设企业）及其他经济组织不得参加土地竞买活动。竞买人可单独竞买，也可联合竞买。</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5"/>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bCs/>
          <w:sz w:val="32"/>
          <w:szCs w:val="32"/>
          <w:highlight w:val="none"/>
        </w:rPr>
        <w:t>为保证网络环境下用户身份的确认和有关资料信息的真实、安全性，竞买人须登陆“河南省土地使用权网上交易系统”</w:t>
      </w:r>
      <w:r>
        <w:rPr>
          <w:rFonts w:hint="eastAsia" w:ascii="仿宋_GB2312" w:hAnsi="仿宋_GB2312" w:eastAsia="仿宋_GB2312" w:cs="仿宋_GB2312"/>
          <w:sz w:val="32"/>
          <w:szCs w:val="32"/>
          <w:highlight w:val="none"/>
          <w:lang w:eastAsia="zh-CN"/>
        </w:rPr>
        <w:t>（https://td.hnsggzyjy.henan.gov.cn）</w:t>
      </w:r>
      <w:r>
        <w:rPr>
          <w:rFonts w:hint="eastAsia" w:ascii="仿宋_GB2312" w:hAnsi="仿宋_GB2312" w:eastAsia="仿宋_GB2312" w:cs="仿宋_GB2312"/>
          <w:sz w:val="32"/>
          <w:szCs w:val="32"/>
          <w:highlight w:val="none"/>
        </w:rPr>
        <w:t>申请办理河南CA数字证书后，方可在网上浏览或下载出让文件，参加网上交易活动。</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操作系统请使用WinXP/Win7/Win8;浏览器请使用IE8.0、IE9.0、IE10.0，其它操作系统与浏览器可能会影响您正常参与网上交易活动。数字证书驱动请到河南CA官方网站下载，并正确安装。请竞买人在竞买前仔细检查好自己电脑的运行环境，并先到网上交易模拟系统练习，以免影响您的报价、竞价。</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5"/>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五、挂牌文件取得</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竞买人可登陆</w:t>
      </w:r>
      <w:r>
        <w:rPr>
          <w:rFonts w:hint="eastAsia" w:ascii="仿宋_GB2312" w:hAnsi="仿宋_GB2312" w:eastAsia="仿宋_GB2312" w:cs="仿宋_GB2312"/>
          <w:bCs/>
          <w:sz w:val="32"/>
          <w:szCs w:val="32"/>
          <w:highlight w:val="none"/>
        </w:rPr>
        <w:t>“河南省土地使用权网上交易系统”</w:t>
      </w:r>
      <w:r>
        <w:rPr>
          <w:rFonts w:hint="eastAsia" w:ascii="仿宋_GB2312" w:hAnsi="仿宋_GB2312" w:eastAsia="仿宋_GB2312" w:cs="仿宋_GB2312"/>
          <w:sz w:val="32"/>
          <w:szCs w:val="32"/>
          <w:highlight w:val="none"/>
          <w:lang w:eastAsia="zh-CN"/>
        </w:rPr>
        <w:t>（https://td.hnsggzyjy.henan.gov.cn）</w:t>
      </w:r>
      <w:r>
        <w:rPr>
          <w:rFonts w:hint="eastAsia" w:ascii="仿宋_GB2312" w:hAnsi="仿宋_GB2312" w:eastAsia="仿宋_GB2312" w:cs="仿宋_GB2312"/>
          <w:sz w:val="32"/>
          <w:szCs w:val="32"/>
          <w:highlight w:val="none"/>
        </w:rPr>
        <w:t>获取本次挂牌出让文件。于</w:t>
      </w:r>
      <w:r>
        <w:rPr>
          <w:rFonts w:hint="eastAsia" w:ascii="仿宋_GB2312" w:hAnsi="仿宋_GB2312" w:eastAsia="仿宋_GB2312" w:cs="仿宋_GB2312"/>
          <w:b/>
          <w:bCs/>
          <w:color w:val="000000"/>
          <w:spacing w:val="-11"/>
          <w:sz w:val="32"/>
          <w:szCs w:val="32"/>
          <w:highlight w:val="none"/>
          <w:u w:val="single"/>
          <w:lang w:eastAsia="zh-CN"/>
        </w:rPr>
        <w:t>2026年09月30日</w:t>
      </w:r>
      <w:r>
        <w:rPr>
          <w:rFonts w:hint="eastAsia" w:ascii="仿宋_GB2312" w:hAnsi="仿宋_GB2312" w:eastAsia="仿宋_GB2312" w:cs="仿宋_GB2312"/>
          <w:b/>
          <w:bCs/>
          <w:color w:val="000000"/>
          <w:spacing w:val="-11"/>
          <w:sz w:val="32"/>
          <w:szCs w:val="32"/>
          <w:highlight w:val="none"/>
          <w:u w:val="single"/>
          <w:lang w:val="en-US" w:eastAsia="zh-CN"/>
        </w:rPr>
        <w:t>09时00分</w:t>
      </w:r>
      <w:r>
        <w:rPr>
          <w:rFonts w:hint="eastAsia" w:ascii="仿宋_GB2312" w:hAnsi="仿宋_GB2312" w:eastAsia="仿宋_GB2312" w:cs="仿宋_GB2312"/>
          <w:b/>
          <w:bCs/>
          <w:color w:val="000000"/>
          <w:spacing w:val="-11"/>
          <w:sz w:val="32"/>
          <w:szCs w:val="32"/>
          <w:highlight w:val="none"/>
          <w:u w:val="single"/>
          <w:lang w:eastAsia="zh-CN"/>
        </w:rPr>
        <w:t>至2026年10月27日16时30分</w:t>
      </w:r>
      <w:r>
        <w:rPr>
          <w:rFonts w:hint="eastAsia" w:ascii="仿宋_GB2312" w:hAnsi="仿宋_GB2312" w:eastAsia="仿宋_GB2312" w:cs="仿宋_GB2312"/>
          <w:sz w:val="32"/>
          <w:szCs w:val="32"/>
          <w:highlight w:val="none"/>
        </w:rPr>
        <w:t>获取本次挂牌出让文件，递交《</w:t>
      </w:r>
      <w:r>
        <w:rPr>
          <w:rFonts w:hint="eastAsia" w:ascii="仿宋_GB2312" w:hAnsi="仿宋_GB2312" w:eastAsia="仿宋_GB2312" w:cs="仿宋_GB2312"/>
          <w:sz w:val="32"/>
          <w:szCs w:val="32"/>
          <w:highlight w:val="none"/>
          <w:lang w:eastAsia="zh-CN"/>
        </w:rPr>
        <w:t>国有建设用地使用权挂牌出让竞买申请书</w:t>
      </w:r>
      <w:r>
        <w:rPr>
          <w:rFonts w:hint="eastAsia" w:ascii="仿宋_GB2312" w:hAnsi="仿宋_GB2312" w:eastAsia="仿宋_GB2312" w:cs="仿宋_GB2312"/>
          <w:sz w:val="32"/>
          <w:szCs w:val="32"/>
          <w:highlight w:val="none"/>
        </w:rPr>
        <w:t>》，并对所提交资料的真实性负责。</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挂牌出让文件具体包括：</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1、国有建设用地使用权挂牌出让公告</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2、挂牌出让须知</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3、授权委托书</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4、成交确认书</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5、</w:t>
      </w:r>
      <w:r>
        <w:rPr>
          <w:rFonts w:hint="eastAsia" w:ascii="仿宋_GB2312" w:hAnsi="仿宋_GB2312" w:eastAsia="仿宋_GB2312" w:cs="仿宋_GB2312"/>
          <w:sz w:val="32"/>
          <w:szCs w:val="32"/>
          <w:highlight w:val="none"/>
          <w:lang w:eastAsia="zh-CN"/>
        </w:rPr>
        <w:t>国有建设用地使用权挂牌出让竞买申请书</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6、</w:t>
      </w:r>
      <w:r>
        <w:rPr>
          <w:rFonts w:hint="eastAsia" w:ascii="仿宋_GB2312" w:hAnsi="仿宋_GB2312" w:eastAsia="仿宋_GB2312" w:cs="仿宋_GB2312"/>
          <w:sz w:val="32"/>
          <w:szCs w:val="32"/>
          <w:highlight w:val="none"/>
          <w:lang w:eastAsia="zh-CN"/>
        </w:rPr>
        <w:t>国有建设用地使用权挂牌出让竞买保证金到账确认书</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7、</w:t>
      </w:r>
      <w:r>
        <w:rPr>
          <w:rFonts w:hint="eastAsia" w:ascii="仿宋_GB2312" w:hAnsi="仿宋_GB2312" w:eastAsia="仿宋_GB2312" w:cs="仿宋_GB2312"/>
          <w:sz w:val="32"/>
          <w:szCs w:val="32"/>
          <w:highlight w:val="none"/>
          <w:lang w:eastAsia="zh-CN"/>
        </w:rPr>
        <w:t>国有建设用地使用权挂牌出让竞得入选通知书</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97" w:firstLineChars="218"/>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六、答疑及现场踏勘</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竞买人对挂牌出让文件有疑问的，可在网上挂牌活动开始前向延津县公共资源交易中心及延津县</w:t>
      </w:r>
      <w:r>
        <w:rPr>
          <w:rFonts w:hint="eastAsia" w:ascii="仿宋_GB2312" w:hAnsi="仿宋_GB2312" w:eastAsia="仿宋_GB2312" w:cs="仿宋_GB2312"/>
          <w:sz w:val="32"/>
          <w:szCs w:val="32"/>
          <w:highlight w:val="none"/>
          <w:lang w:val="en-US" w:eastAsia="zh-CN"/>
        </w:rPr>
        <w:t>自然</w:t>
      </w:r>
      <w:r>
        <w:rPr>
          <w:rFonts w:hint="eastAsia" w:ascii="仿宋_GB2312" w:hAnsi="仿宋_GB2312" w:eastAsia="仿宋_GB2312" w:cs="仿宋_GB2312"/>
          <w:sz w:val="32"/>
          <w:szCs w:val="32"/>
          <w:highlight w:val="none"/>
        </w:rPr>
        <w:t>资源局咨询。竞买人自行组织现场踏勘，根据宗地现状情况确认是否参与网上竞买。</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七、本次网上挂牌出让活动有关时间</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color w:val="auto"/>
          <w:sz w:val="32"/>
          <w:szCs w:val="32"/>
          <w:highlight w:val="none"/>
          <w:u w:val="none"/>
          <w:lang w:val="en-US" w:eastAsia="zh-CN"/>
        </w:rPr>
        <w:t>YJ</w:t>
      </w:r>
      <w:r>
        <w:rPr>
          <w:rFonts w:hint="eastAsia" w:ascii="仿宋_GB2312" w:hAnsi="仿宋_GB2312" w:eastAsia="仿宋_GB2312" w:cs="仿宋_GB2312"/>
          <w:b/>
          <w:bCs/>
          <w:color w:val="auto"/>
          <w:sz w:val="32"/>
          <w:szCs w:val="32"/>
          <w:highlight w:val="none"/>
          <w:u w:val="none"/>
          <w:lang w:eastAsia="zh-CN"/>
        </w:rPr>
        <w:t>202</w:t>
      </w:r>
      <w:r>
        <w:rPr>
          <w:rFonts w:hint="eastAsia" w:ascii="仿宋_GB2312" w:hAnsi="仿宋_GB2312" w:eastAsia="仿宋_GB2312" w:cs="仿宋_GB2312"/>
          <w:b/>
          <w:bCs/>
          <w:color w:val="auto"/>
          <w:sz w:val="32"/>
          <w:szCs w:val="32"/>
          <w:highlight w:val="none"/>
          <w:u w:val="none"/>
          <w:lang w:val="en-US" w:eastAsia="zh-CN"/>
        </w:rPr>
        <w:t>6</w:t>
      </w:r>
      <w:r>
        <w:rPr>
          <w:rFonts w:hint="eastAsia" w:ascii="仿宋_GB2312" w:hAnsi="仿宋_GB2312" w:eastAsia="仿宋_GB2312" w:cs="仿宋_GB2312"/>
          <w:b/>
          <w:bCs/>
          <w:color w:val="auto"/>
          <w:sz w:val="32"/>
          <w:szCs w:val="32"/>
          <w:highlight w:val="none"/>
          <w:u w:val="none"/>
          <w:lang w:eastAsia="zh-CN"/>
        </w:rPr>
        <w:t>-</w:t>
      </w:r>
      <w:r>
        <w:rPr>
          <w:rFonts w:hint="eastAsia" w:ascii="仿宋_GB2312" w:hAnsi="仿宋_GB2312" w:eastAsia="仿宋_GB2312" w:cs="仿宋_GB2312"/>
          <w:b/>
          <w:bCs/>
          <w:color w:val="auto"/>
          <w:sz w:val="32"/>
          <w:szCs w:val="32"/>
          <w:highlight w:val="none"/>
          <w:u w:val="none"/>
          <w:lang w:val="en-US" w:eastAsia="zh-CN"/>
        </w:rPr>
        <w:t>05</w:t>
      </w:r>
      <w:r>
        <w:rPr>
          <w:rFonts w:hint="eastAsia" w:ascii="仿宋_GB2312" w:hAnsi="仿宋_GB2312" w:eastAsia="仿宋_GB2312" w:cs="仿宋_GB2312"/>
          <w:b/>
          <w:bCs/>
          <w:color w:val="auto"/>
          <w:sz w:val="32"/>
          <w:szCs w:val="32"/>
          <w:highlight w:val="none"/>
          <w:u w:val="none"/>
          <w:lang w:eastAsia="zh-CN"/>
        </w:rPr>
        <w:t>号</w:t>
      </w:r>
      <w:r>
        <w:rPr>
          <w:rFonts w:hint="eastAsia" w:ascii="仿宋_GB2312" w:hAnsi="仿宋_GB2312" w:eastAsia="仿宋_GB2312" w:cs="仿宋_GB2312"/>
          <w:b/>
          <w:bCs/>
          <w:sz w:val="32"/>
          <w:szCs w:val="32"/>
          <w:highlight w:val="none"/>
        </w:rPr>
        <w:t>宗地:</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b/>
          <w:bCs/>
          <w:color w:val="auto"/>
          <w:sz w:val="32"/>
          <w:szCs w:val="32"/>
          <w:highlight w:val="none"/>
          <w:u w:val="single"/>
          <w:lang w:val="en-US" w:eastAsia="zh-CN"/>
        </w:rPr>
      </w:pPr>
      <w:r>
        <w:rPr>
          <w:rFonts w:hint="eastAsia" w:ascii="仿宋_GB2312" w:hAnsi="仿宋_GB2312" w:eastAsia="仿宋_GB2312" w:cs="仿宋_GB2312"/>
          <w:sz w:val="32"/>
          <w:szCs w:val="32"/>
          <w:highlight w:val="none"/>
        </w:rPr>
        <w:t>1、挂牌起始时间：</w:t>
      </w:r>
      <w:r>
        <w:rPr>
          <w:rFonts w:hint="eastAsia" w:ascii="仿宋_GB2312" w:hAnsi="仿宋_GB2312" w:eastAsia="仿宋_GB2312" w:cs="仿宋_GB2312"/>
          <w:b/>
          <w:bCs/>
          <w:color w:val="auto"/>
          <w:sz w:val="32"/>
          <w:szCs w:val="32"/>
          <w:highlight w:val="none"/>
          <w:u w:val="single"/>
          <w:lang w:eastAsia="zh-CN"/>
        </w:rPr>
        <w:t>2026年</w:t>
      </w:r>
      <w:r>
        <w:rPr>
          <w:rFonts w:hint="eastAsia" w:ascii="仿宋_GB2312" w:hAnsi="仿宋_GB2312" w:eastAsia="仿宋_GB2312" w:cs="仿宋_GB2312"/>
          <w:b/>
          <w:bCs/>
          <w:color w:val="auto"/>
          <w:sz w:val="32"/>
          <w:szCs w:val="32"/>
          <w:highlight w:val="none"/>
          <w:u w:val="single"/>
          <w:lang w:val="en-US" w:eastAsia="zh-CN"/>
        </w:rPr>
        <w:t>10</w:t>
      </w:r>
      <w:r>
        <w:rPr>
          <w:rFonts w:hint="eastAsia" w:ascii="仿宋_GB2312" w:hAnsi="仿宋_GB2312" w:eastAsia="仿宋_GB2312" w:cs="仿宋_GB2312"/>
          <w:b/>
          <w:bCs/>
          <w:color w:val="auto"/>
          <w:sz w:val="32"/>
          <w:szCs w:val="32"/>
          <w:highlight w:val="none"/>
          <w:u w:val="single"/>
          <w:lang w:eastAsia="zh-CN"/>
        </w:rPr>
        <w:t>月</w:t>
      </w:r>
      <w:r>
        <w:rPr>
          <w:rFonts w:hint="eastAsia" w:ascii="仿宋_GB2312" w:hAnsi="仿宋_GB2312" w:eastAsia="仿宋_GB2312" w:cs="仿宋_GB2312"/>
          <w:b/>
          <w:bCs/>
          <w:color w:val="auto"/>
          <w:sz w:val="32"/>
          <w:szCs w:val="32"/>
          <w:highlight w:val="none"/>
          <w:u w:val="single"/>
          <w:lang w:val="en-US" w:eastAsia="zh-CN"/>
        </w:rPr>
        <w:t>20</w:t>
      </w:r>
      <w:r>
        <w:rPr>
          <w:rFonts w:hint="eastAsia" w:ascii="仿宋_GB2312" w:hAnsi="仿宋_GB2312" w:eastAsia="仿宋_GB2312" w:cs="仿宋_GB2312"/>
          <w:b/>
          <w:bCs/>
          <w:color w:val="auto"/>
          <w:sz w:val="32"/>
          <w:szCs w:val="32"/>
          <w:highlight w:val="none"/>
          <w:u w:val="single"/>
          <w:lang w:eastAsia="zh-CN"/>
        </w:rPr>
        <w:t>日</w:t>
      </w:r>
      <w:r>
        <w:rPr>
          <w:rFonts w:hint="eastAsia" w:ascii="仿宋_GB2312" w:hAnsi="仿宋_GB2312" w:eastAsia="仿宋_GB2312" w:cs="仿宋_GB2312"/>
          <w:b/>
          <w:bCs/>
          <w:color w:val="auto"/>
          <w:sz w:val="32"/>
          <w:szCs w:val="32"/>
          <w:highlight w:val="none"/>
          <w:u w:val="single"/>
          <w:lang w:val="en-US" w:eastAsia="zh-CN"/>
        </w:rPr>
        <w:t>09</w:t>
      </w:r>
      <w:r>
        <w:rPr>
          <w:rFonts w:hint="eastAsia" w:ascii="仿宋_GB2312" w:hAnsi="仿宋_GB2312" w:eastAsia="仿宋_GB2312" w:cs="仿宋_GB2312"/>
          <w:b/>
          <w:bCs/>
          <w:color w:val="auto"/>
          <w:sz w:val="32"/>
          <w:szCs w:val="32"/>
          <w:highlight w:val="none"/>
          <w:u w:val="single"/>
        </w:rPr>
        <w:t>时00分</w:t>
      </w:r>
      <w:r>
        <w:rPr>
          <w:rFonts w:hint="eastAsia" w:ascii="仿宋_GB2312" w:hAnsi="仿宋_GB2312" w:eastAsia="仿宋_GB2312" w:cs="仿宋_GB2312"/>
          <w:b/>
          <w:bCs/>
          <w:color w:val="auto"/>
          <w:sz w:val="32"/>
          <w:szCs w:val="32"/>
          <w:highlight w:val="none"/>
          <w:u w:val="none"/>
          <w:lang w:eastAsia="zh-CN"/>
        </w:rPr>
        <w:t>。</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b/>
          <w:bCs/>
          <w:color w:val="auto"/>
          <w:sz w:val="32"/>
          <w:szCs w:val="32"/>
          <w:highlight w:val="none"/>
          <w:u w:val="none"/>
          <w:lang w:eastAsia="zh-CN"/>
        </w:rPr>
      </w:pPr>
      <w:r>
        <w:rPr>
          <w:rFonts w:hint="eastAsia" w:ascii="仿宋_GB2312" w:hAnsi="仿宋_GB2312" w:eastAsia="仿宋_GB2312" w:cs="仿宋_GB2312"/>
          <w:b w:val="0"/>
          <w:bCs w:val="0"/>
          <w:color w:val="auto"/>
          <w:sz w:val="32"/>
          <w:szCs w:val="32"/>
          <w:highlight w:val="none"/>
        </w:rPr>
        <w:t>2、挂牌截止时间：</w:t>
      </w:r>
      <w:r>
        <w:rPr>
          <w:rFonts w:hint="eastAsia" w:ascii="仿宋_GB2312" w:hAnsi="仿宋_GB2312" w:eastAsia="仿宋_GB2312" w:cs="仿宋_GB2312"/>
          <w:b/>
          <w:bCs/>
          <w:color w:val="auto"/>
          <w:sz w:val="32"/>
          <w:szCs w:val="32"/>
          <w:highlight w:val="none"/>
          <w:u w:val="single"/>
          <w:lang w:eastAsia="zh-CN"/>
        </w:rPr>
        <w:t>2026年</w:t>
      </w:r>
      <w:r>
        <w:rPr>
          <w:rFonts w:hint="eastAsia" w:ascii="仿宋_GB2312" w:hAnsi="仿宋_GB2312" w:eastAsia="仿宋_GB2312" w:cs="仿宋_GB2312"/>
          <w:b/>
          <w:bCs/>
          <w:color w:val="auto"/>
          <w:sz w:val="32"/>
          <w:szCs w:val="32"/>
          <w:highlight w:val="none"/>
          <w:u w:val="single"/>
          <w:lang w:val="en-US" w:eastAsia="zh-CN"/>
        </w:rPr>
        <w:t>10</w:t>
      </w:r>
      <w:r>
        <w:rPr>
          <w:rFonts w:hint="eastAsia" w:ascii="仿宋_GB2312" w:hAnsi="仿宋_GB2312" w:eastAsia="仿宋_GB2312" w:cs="仿宋_GB2312"/>
          <w:b/>
          <w:bCs/>
          <w:color w:val="auto"/>
          <w:sz w:val="32"/>
          <w:szCs w:val="32"/>
          <w:highlight w:val="none"/>
          <w:u w:val="single"/>
          <w:lang w:eastAsia="zh-CN"/>
        </w:rPr>
        <w:t>月</w:t>
      </w:r>
      <w:r>
        <w:rPr>
          <w:rFonts w:hint="eastAsia" w:ascii="仿宋_GB2312" w:hAnsi="仿宋_GB2312" w:eastAsia="仿宋_GB2312" w:cs="仿宋_GB2312"/>
          <w:b/>
          <w:bCs/>
          <w:color w:val="auto"/>
          <w:sz w:val="32"/>
          <w:szCs w:val="32"/>
          <w:highlight w:val="none"/>
          <w:u w:val="single"/>
          <w:lang w:val="en-US" w:eastAsia="zh-CN"/>
        </w:rPr>
        <w:t>29</w:t>
      </w:r>
      <w:r>
        <w:rPr>
          <w:rFonts w:hint="eastAsia" w:ascii="仿宋_GB2312" w:hAnsi="仿宋_GB2312" w:eastAsia="仿宋_GB2312" w:cs="仿宋_GB2312"/>
          <w:b/>
          <w:bCs/>
          <w:color w:val="auto"/>
          <w:sz w:val="32"/>
          <w:szCs w:val="32"/>
          <w:highlight w:val="none"/>
          <w:u w:val="single"/>
          <w:lang w:eastAsia="zh-CN"/>
        </w:rPr>
        <w:t>日11时</w:t>
      </w:r>
      <w:r>
        <w:rPr>
          <w:rFonts w:hint="eastAsia" w:ascii="仿宋_GB2312" w:hAnsi="仿宋_GB2312" w:eastAsia="仿宋_GB2312" w:cs="仿宋_GB2312"/>
          <w:b/>
          <w:bCs/>
          <w:color w:val="auto"/>
          <w:sz w:val="32"/>
          <w:szCs w:val="32"/>
          <w:highlight w:val="none"/>
          <w:u w:val="single"/>
          <w:lang w:val="en-US" w:eastAsia="zh-CN"/>
        </w:rPr>
        <w:t>00</w:t>
      </w:r>
      <w:r>
        <w:rPr>
          <w:rFonts w:hint="eastAsia" w:ascii="仿宋_GB2312" w:hAnsi="仿宋_GB2312" w:eastAsia="仿宋_GB2312" w:cs="仿宋_GB2312"/>
          <w:b/>
          <w:bCs/>
          <w:color w:val="auto"/>
          <w:sz w:val="32"/>
          <w:szCs w:val="32"/>
          <w:highlight w:val="none"/>
          <w:u w:val="single"/>
          <w:lang w:eastAsia="zh-CN"/>
        </w:rPr>
        <w:t>分</w:t>
      </w:r>
      <w:r>
        <w:rPr>
          <w:rFonts w:hint="eastAsia" w:ascii="仿宋_GB2312" w:hAnsi="仿宋_GB2312" w:eastAsia="仿宋_GB2312" w:cs="仿宋_GB2312"/>
          <w:b/>
          <w:bCs/>
          <w:color w:val="auto"/>
          <w:sz w:val="32"/>
          <w:szCs w:val="32"/>
          <w:highlight w:val="none"/>
          <w:u w:val="none"/>
          <w:lang w:eastAsia="zh-CN"/>
        </w:rPr>
        <w:t>。</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八、</w:t>
      </w:r>
      <w:r>
        <w:rPr>
          <w:rFonts w:hint="eastAsia" w:ascii="仿宋_GB2312" w:hAnsi="仿宋_GB2312" w:eastAsia="仿宋_GB2312" w:cs="仿宋_GB2312"/>
          <w:b/>
          <w:color w:val="000000"/>
          <w:sz w:val="32"/>
          <w:highlight w:val="none"/>
        </w:rPr>
        <w:t>竞买保证金到账截止日期</w:t>
      </w:r>
      <w:r>
        <w:rPr>
          <w:rFonts w:hint="eastAsia" w:ascii="仿宋_GB2312" w:hAnsi="仿宋_GB2312" w:eastAsia="仿宋_GB2312" w:cs="仿宋_GB2312"/>
          <w:b/>
          <w:color w:val="000000"/>
          <w:sz w:val="32"/>
          <w:highlight w:val="none"/>
          <w:lang w:eastAsia="zh-CN"/>
        </w:rPr>
        <w:t>、</w:t>
      </w:r>
      <w:r>
        <w:rPr>
          <w:rFonts w:hint="eastAsia" w:ascii="仿宋_GB2312" w:hAnsi="仿宋_GB2312" w:eastAsia="仿宋_GB2312" w:cs="仿宋_GB2312"/>
          <w:b/>
          <w:color w:val="000000"/>
          <w:sz w:val="32"/>
          <w:highlight w:val="none"/>
          <w:lang w:val="en-US" w:eastAsia="zh-CN"/>
        </w:rPr>
        <w:t>资格确认时间</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b/>
          <w:sz w:val="32"/>
          <w:highlight w:val="none"/>
        </w:rPr>
      </w:pPr>
      <w:r>
        <w:rPr>
          <w:rFonts w:hint="eastAsia" w:ascii="仿宋_GB2312" w:hAnsi="仿宋_GB2312" w:eastAsia="仿宋_GB2312" w:cs="仿宋_GB2312"/>
          <w:sz w:val="32"/>
          <w:szCs w:val="32"/>
          <w:highlight w:val="none"/>
        </w:rPr>
        <w:t>竞买人须于</w:t>
      </w:r>
      <w:r>
        <w:rPr>
          <w:rFonts w:hint="eastAsia" w:ascii="仿宋_GB2312" w:hAnsi="仿宋_GB2312" w:eastAsia="仿宋_GB2312" w:cs="仿宋_GB2312"/>
          <w:b/>
          <w:bCs/>
          <w:color w:val="000000"/>
          <w:sz w:val="32"/>
          <w:szCs w:val="32"/>
          <w:highlight w:val="none"/>
          <w:u w:val="single"/>
          <w:lang w:eastAsia="zh-CN"/>
        </w:rPr>
        <w:t>2026年09月30日</w:t>
      </w:r>
      <w:r>
        <w:rPr>
          <w:rFonts w:hint="eastAsia" w:ascii="仿宋_GB2312" w:hAnsi="仿宋_GB2312" w:eastAsia="仿宋_GB2312" w:cs="仿宋_GB2312"/>
          <w:b/>
          <w:bCs/>
          <w:color w:val="auto"/>
          <w:sz w:val="32"/>
          <w:szCs w:val="32"/>
          <w:highlight w:val="none"/>
          <w:u w:val="single"/>
          <w:lang w:val="en-US" w:eastAsia="zh-CN"/>
        </w:rPr>
        <w:t>09</w:t>
      </w:r>
      <w:r>
        <w:rPr>
          <w:rFonts w:hint="eastAsia" w:ascii="仿宋_GB2312" w:hAnsi="仿宋_GB2312" w:eastAsia="仿宋_GB2312" w:cs="仿宋_GB2312"/>
          <w:b/>
          <w:bCs/>
          <w:color w:val="auto"/>
          <w:sz w:val="32"/>
          <w:szCs w:val="32"/>
          <w:highlight w:val="none"/>
          <w:u w:val="single"/>
        </w:rPr>
        <w:t>时00分</w:t>
      </w:r>
      <w:r>
        <w:rPr>
          <w:rFonts w:hint="eastAsia" w:ascii="仿宋_GB2312" w:hAnsi="仿宋_GB2312" w:eastAsia="仿宋_GB2312" w:cs="仿宋_GB2312"/>
          <w:b/>
          <w:bCs/>
          <w:color w:val="000000"/>
          <w:sz w:val="32"/>
          <w:szCs w:val="32"/>
          <w:highlight w:val="none"/>
          <w:u w:val="single"/>
          <w:lang w:eastAsia="zh-CN"/>
        </w:rPr>
        <w:t>至2026年10月27日</w:t>
      </w:r>
      <w:r>
        <w:rPr>
          <w:rFonts w:hint="eastAsia" w:ascii="仿宋_GB2312" w:hAnsi="仿宋_GB2312" w:eastAsia="仿宋_GB2312" w:cs="仿宋_GB2312"/>
          <w:b/>
          <w:bCs/>
          <w:color w:val="auto"/>
          <w:sz w:val="32"/>
          <w:szCs w:val="32"/>
          <w:highlight w:val="none"/>
          <w:u w:val="single"/>
          <w:lang w:eastAsia="zh-CN"/>
        </w:rPr>
        <w:t>1</w:t>
      </w:r>
      <w:r>
        <w:rPr>
          <w:rFonts w:hint="eastAsia" w:ascii="仿宋_GB2312" w:hAnsi="仿宋_GB2312" w:eastAsia="仿宋_GB2312" w:cs="仿宋_GB2312"/>
          <w:b/>
          <w:bCs/>
          <w:color w:val="auto"/>
          <w:sz w:val="32"/>
          <w:szCs w:val="32"/>
          <w:highlight w:val="none"/>
          <w:u w:val="single"/>
          <w:lang w:val="en-US" w:eastAsia="zh-CN"/>
        </w:rPr>
        <w:t>6</w:t>
      </w:r>
      <w:r>
        <w:rPr>
          <w:rFonts w:hint="eastAsia" w:ascii="仿宋_GB2312" w:hAnsi="仿宋_GB2312" w:eastAsia="仿宋_GB2312" w:cs="仿宋_GB2312"/>
          <w:b/>
          <w:bCs/>
          <w:color w:val="auto"/>
          <w:sz w:val="32"/>
          <w:szCs w:val="32"/>
          <w:highlight w:val="none"/>
          <w:u w:val="single"/>
          <w:lang w:eastAsia="zh-CN"/>
        </w:rPr>
        <w:t>时</w:t>
      </w:r>
      <w:r>
        <w:rPr>
          <w:rFonts w:hint="eastAsia" w:ascii="仿宋_GB2312" w:hAnsi="仿宋_GB2312" w:eastAsia="仿宋_GB2312" w:cs="仿宋_GB2312"/>
          <w:b/>
          <w:bCs/>
          <w:color w:val="auto"/>
          <w:sz w:val="32"/>
          <w:szCs w:val="32"/>
          <w:highlight w:val="none"/>
          <w:u w:val="single"/>
          <w:lang w:val="en-US" w:eastAsia="zh-CN"/>
        </w:rPr>
        <w:t>30</w:t>
      </w:r>
      <w:r>
        <w:rPr>
          <w:rFonts w:hint="eastAsia" w:ascii="仿宋_GB2312" w:hAnsi="仿宋_GB2312" w:eastAsia="仿宋_GB2312" w:cs="仿宋_GB2312"/>
          <w:b/>
          <w:bCs/>
          <w:color w:val="auto"/>
          <w:sz w:val="32"/>
          <w:szCs w:val="32"/>
          <w:highlight w:val="none"/>
          <w:u w:val="single"/>
          <w:lang w:eastAsia="zh-CN"/>
        </w:rPr>
        <w:t>分</w:t>
      </w:r>
      <w:r>
        <w:rPr>
          <w:rFonts w:hint="eastAsia" w:ascii="仿宋_GB2312" w:hAnsi="仿宋_GB2312" w:eastAsia="仿宋_GB2312" w:cs="仿宋_GB2312"/>
          <w:b/>
          <w:sz w:val="32"/>
          <w:highlight w:val="none"/>
        </w:rPr>
        <w:t>（即竞买保证金到账截止日期）</w:t>
      </w:r>
      <w:r>
        <w:rPr>
          <w:rFonts w:hint="eastAsia" w:ascii="仿宋_GB2312" w:hAnsi="仿宋_GB2312" w:eastAsia="仿宋_GB2312" w:cs="仿宋_GB2312"/>
          <w:b w:val="0"/>
          <w:bCs/>
          <w:sz w:val="32"/>
          <w:highlight w:val="none"/>
        </w:rPr>
        <w:t>前</w:t>
      </w:r>
      <w:r>
        <w:rPr>
          <w:rFonts w:hint="eastAsia" w:ascii="仿宋_GB2312" w:hAnsi="仿宋_GB2312" w:eastAsia="仿宋_GB2312" w:cs="仿宋_GB2312"/>
          <w:sz w:val="32"/>
          <w:szCs w:val="32"/>
          <w:highlight w:val="none"/>
        </w:rPr>
        <w:t>通过网上交易系统递交《</w:t>
      </w:r>
      <w:r>
        <w:rPr>
          <w:rFonts w:hint="eastAsia" w:ascii="仿宋_GB2312" w:hAnsi="仿宋_GB2312" w:eastAsia="仿宋_GB2312" w:cs="仿宋_GB2312"/>
          <w:sz w:val="32"/>
          <w:szCs w:val="32"/>
          <w:highlight w:val="none"/>
          <w:lang w:eastAsia="zh-CN"/>
        </w:rPr>
        <w:t>国有建设用地使用权挂牌出让竞买申请书</w:t>
      </w:r>
      <w:r>
        <w:rPr>
          <w:rFonts w:hint="eastAsia" w:ascii="仿宋_GB2312" w:hAnsi="仿宋_GB2312" w:eastAsia="仿宋_GB2312" w:cs="仿宋_GB2312"/>
          <w:sz w:val="32"/>
          <w:szCs w:val="32"/>
          <w:highlight w:val="none"/>
        </w:rPr>
        <w:t>》，竞买人根据网上交易系统内已有银行账号交纳竞买保证金，竞买保证金应于</w:t>
      </w:r>
      <w:r>
        <w:rPr>
          <w:rFonts w:hint="eastAsia" w:ascii="仿宋_GB2312" w:hAnsi="仿宋_GB2312" w:eastAsia="仿宋_GB2312" w:cs="仿宋_GB2312"/>
          <w:b/>
          <w:bCs/>
          <w:color w:val="auto"/>
          <w:sz w:val="32"/>
          <w:szCs w:val="32"/>
          <w:highlight w:val="none"/>
          <w:u w:val="single"/>
          <w:lang w:eastAsia="zh-CN"/>
        </w:rPr>
        <w:t>2026年10月27日</w:t>
      </w:r>
      <w:r>
        <w:rPr>
          <w:rFonts w:hint="eastAsia" w:ascii="仿宋_GB2312" w:hAnsi="仿宋_GB2312" w:eastAsia="仿宋_GB2312" w:cs="仿宋_GB2312"/>
          <w:b/>
          <w:bCs/>
          <w:color w:val="auto"/>
          <w:sz w:val="32"/>
          <w:szCs w:val="32"/>
          <w:highlight w:val="none"/>
          <w:u w:val="single"/>
          <w:lang w:val="en-US" w:eastAsia="zh-CN"/>
        </w:rPr>
        <w:t>16时30分前</w:t>
      </w:r>
      <w:r>
        <w:rPr>
          <w:rFonts w:hint="eastAsia" w:ascii="仿宋_GB2312" w:hAnsi="仿宋_GB2312" w:eastAsia="仿宋_GB2312" w:cs="仿宋_GB2312"/>
          <w:color w:val="auto"/>
          <w:sz w:val="32"/>
          <w:szCs w:val="32"/>
          <w:highlight w:val="none"/>
        </w:rPr>
        <w:t>足额交纳至系统内帐户，</w:t>
      </w:r>
      <w:r>
        <w:rPr>
          <w:rFonts w:hint="eastAsia" w:ascii="仿宋_GB2312" w:hAnsi="仿宋_GB2312" w:eastAsia="仿宋_GB2312" w:cs="仿宋_GB2312"/>
          <w:color w:val="auto"/>
          <w:sz w:val="32"/>
          <w:highlight w:val="none"/>
        </w:rPr>
        <w:t>竞买资格确认时间为</w:t>
      </w:r>
      <w:r>
        <w:rPr>
          <w:rFonts w:hint="eastAsia" w:ascii="仿宋_GB2312" w:hAnsi="仿宋_GB2312" w:eastAsia="仿宋_GB2312" w:cs="仿宋_GB2312"/>
          <w:b/>
          <w:bCs/>
          <w:color w:val="auto"/>
          <w:sz w:val="32"/>
          <w:szCs w:val="32"/>
          <w:highlight w:val="none"/>
          <w:u w:val="single"/>
          <w:lang w:eastAsia="zh-CN"/>
        </w:rPr>
        <w:t>2026年10月27日</w:t>
      </w:r>
      <w:r>
        <w:rPr>
          <w:rFonts w:hint="eastAsia" w:ascii="仿宋_GB2312" w:hAnsi="仿宋_GB2312" w:eastAsia="仿宋_GB2312" w:cs="仿宋_GB2312"/>
          <w:b/>
          <w:bCs/>
          <w:color w:val="auto"/>
          <w:sz w:val="32"/>
          <w:szCs w:val="32"/>
          <w:highlight w:val="none"/>
          <w:u w:val="single"/>
          <w:lang w:val="en-US" w:eastAsia="zh-CN"/>
        </w:rPr>
        <w:t>17时00分前</w:t>
      </w:r>
      <w:r>
        <w:rPr>
          <w:rFonts w:hint="eastAsia" w:ascii="仿宋_GB2312" w:hAnsi="仿宋_GB2312" w:eastAsia="仿宋_GB2312" w:cs="仿宋_GB2312"/>
          <w:b/>
          <w:sz w:val="32"/>
          <w:highlight w:val="none"/>
        </w:rPr>
        <w:t>。</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温馨提示：为避免竞买保证金到账时间延误，影响竞买人顺利获取网上交易竞买资格，建议竞买人至少在保证金到账截止时间的前2天交纳竞买保证金。</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竞买人在规定时间内足额交纳竞买保证金至系统内账户后，即获得竞买资格，竞得人可通过网上交易系统打印《</w:t>
      </w:r>
      <w:r>
        <w:rPr>
          <w:rFonts w:hint="eastAsia" w:ascii="仿宋_GB2312" w:hAnsi="仿宋_GB2312" w:eastAsia="仿宋_GB2312" w:cs="仿宋_GB2312"/>
          <w:sz w:val="32"/>
          <w:szCs w:val="32"/>
          <w:highlight w:val="none"/>
          <w:lang w:eastAsia="zh-CN"/>
        </w:rPr>
        <w:t>国有建设用地使用权挂牌出让竞买申请书</w:t>
      </w:r>
      <w:r>
        <w:rPr>
          <w:rFonts w:hint="eastAsia" w:ascii="仿宋_GB2312" w:hAnsi="仿宋_GB2312" w:eastAsia="仿宋_GB2312" w:cs="仿宋_GB2312"/>
          <w:sz w:val="32"/>
          <w:szCs w:val="32"/>
          <w:highlight w:val="none"/>
        </w:rPr>
        <w:t>》和《</w:t>
      </w:r>
      <w:r>
        <w:rPr>
          <w:rFonts w:hint="eastAsia" w:ascii="仿宋_GB2312" w:hAnsi="仿宋_GB2312" w:eastAsia="仿宋_GB2312" w:cs="仿宋_GB2312"/>
          <w:sz w:val="32"/>
          <w:szCs w:val="32"/>
          <w:highlight w:val="none"/>
          <w:lang w:eastAsia="zh-CN"/>
        </w:rPr>
        <w:t>国有建设用地使用权挂牌出让竞买保证金到账确认书</w:t>
      </w:r>
      <w:r>
        <w:rPr>
          <w:rFonts w:hint="eastAsia" w:ascii="仿宋_GB2312" w:hAnsi="仿宋_GB2312" w:eastAsia="仿宋_GB2312" w:cs="仿宋_GB2312"/>
          <w:sz w:val="32"/>
          <w:szCs w:val="32"/>
          <w:highlight w:val="none"/>
        </w:rPr>
        <w:t>》。未按时足额交纳竞买保证金的不能获得竞买资格。</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九、网上挂牌程序</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（一）公布挂牌信息</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延津县公共资源交易中心通过网上交易系统公布挂牌宗地的位置、面积、用途、现状、使用年限、规划指标要求、开竣工时间、挂牌起始价和增价幅度以及其他有关事项。</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（二）挂牌竞价</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1.挂牌以报价、限时竞价方式进行，初次报价不得低于挂牌起始价。</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2.竞买人应谨慎报价，报价一经提交，不得修改或撤回。网上挂牌报价截止之前，竞买人至少进行一次有效报价才有资格参加限时竞价。</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挂牌期限届满，网上交易系统自动显示最高报价，并询问竞买人是否愿意继续竞价。有竞买人表示愿意继续竞价的，挂牌出让转入网上限时竞价，通过网上限时竞价确定竞得入选人。没有竞买人表示愿意继续竞价的，按照下列规定确定竞得入选人：</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（1）在挂牌期限内只有一个竞买人报价，无底价的情况下该竞买人为竞得入选人（有底价的不得低于底价）；</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（2）在挂牌期限内有两个或者两个以上的竞买人报价的，报价最高者为竞得入选人（有底价的不得低于底价）；</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（3）在挂牌期限内无报价者或竞买人的报价均低于底价的，挂牌不成交。</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4.竞买人被确定为竞得入选人后，可通过网上交易系统打印《</w:t>
      </w:r>
      <w:r>
        <w:rPr>
          <w:rFonts w:hint="eastAsia" w:ascii="仿宋_GB2312" w:hAnsi="仿宋_GB2312" w:eastAsia="仿宋_GB2312" w:cs="仿宋_GB2312"/>
          <w:sz w:val="32"/>
          <w:szCs w:val="32"/>
          <w:highlight w:val="none"/>
          <w:lang w:eastAsia="zh-CN"/>
        </w:rPr>
        <w:t>国有建设用地使用权挂牌出让竞得入选通知书</w:t>
      </w:r>
      <w:r>
        <w:rPr>
          <w:rFonts w:hint="eastAsia" w:ascii="仿宋_GB2312" w:hAnsi="仿宋_GB2312" w:eastAsia="仿宋_GB2312" w:cs="仿宋_GB2312"/>
          <w:sz w:val="32"/>
          <w:szCs w:val="32"/>
          <w:highlight w:val="none"/>
        </w:rPr>
        <w:t>》。</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（三）竞得入选人资格审查</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网上挂牌出让活动结束后3个工作日内，竞得入选人将网上竞得入选人证明和出让文件要求提交的相关资料，当面提交延津县公共资源交易中心进行审查。经审查无误后将竞得入选人确定为竞得人，由延津县公共资源交易中心与竞得人签订《成交确认书》。如因竞得入选人的资格审查未通过，造成本次出让地块不成交的，由竞得入选人自行承担相应责任。出让文件要求提交的申请文件包括：</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（1）法人申请的，应提交下列文件：</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①</w:t>
      </w:r>
      <w:r>
        <w:rPr>
          <w:rFonts w:hint="eastAsia" w:ascii="仿宋_GB2312" w:hAnsi="仿宋_GB2312" w:eastAsia="仿宋_GB2312" w:cs="仿宋_GB2312"/>
          <w:sz w:val="32"/>
          <w:szCs w:val="32"/>
          <w:highlight w:val="none"/>
          <w:lang w:val="en-US" w:eastAsia="zh-CN"/>
        </w:rPr>
        <w:t>国有建设用地使用权挂牌出让竞买申请书（网上打印）；</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②法人单位有效证明文件（营业执照、组织机构代码证原件及复印件）,已取得“三证合一”执照的无需再提供组织机构代码证原件及复印件；</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③法定代表人的有效身份证明文件、身份证原件及复印件；</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④申请人委托他人办理的，应提交授权委托书及委托代理人的有效身份证明文件、身份证原件及复印件；</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548" w:firstLineChars="200"/>
        <w:textAlignment w:val="auto"/>
        <w:rPr>
          <w:rFonts w:hint="eastAsia" w:ascii="仿宋_GB2312" w:hAnsi="仿宋_GB2312" w:eastAsia="仿宋_GB2312" w:cs="仿宋_GB2312"/>
          <w:spacing w:val="-23"/>
          <w:sz w:val="32"/>
          <w:szCs w:val="32"/>
          <w:highlight w:val="none"/>
        </w:rPr>
      </w:pPr>
      <w:r>
        <w:rPr>
          <w:rFonts w:hint="eastAsia" w:ascii="仿宋_GB2312" w:hAnsi="仿宋_GB2312" w:eastAsia="仿宋_GB2312" w:cs="仿宋_GB2312"/>
          <w:spacing w:val="-23"/>
          <w:sz w:val="32"/>
          <w:szCs w:val="32"/>
          <w:highlight w:val="none"/>
        </w:rPr>
        <w:t>⑤</w:t>
      </w:r>
      <w:r>
        <w:rPr>
          <w:rFonts w:hint="eastAsia" w:ascii="仿宋_GB2312" w:hAnsi="仿宋_GB2312" w:eastAsia="仿宋_GB2312" w:cs="仿宋_GB2312"/>
          <w:spacing w:val="-23"/>
          <w:sz w:val="32"/>
          <w:szCs w:val="32"/>
          <w:highlight w:val="none"/>
          <w:lang w:eastAsia="zh-CN"/>
        </w:rPr>
        <w:t>国有建设用地使用权挂牌出让竞买保证金到账确认书</w:t>
      </w:r>
      <w:r>
        <w:rPr>
          <w:rFonts w:hint="eastAsia" w:ascii="仿宋_GB2312" w:hAnsi="仿宋_GB2312" w:eastAsia="仿宋_GB2312" w:cs="仿宋_GB2312"/>
          <w:spacing w:val="-23"/>
          <w:sz w:val="32"/>
          <w:szCs w:val="32"/>
          <w:highlight w:val="none"/>
        </w:rPr>
        <w:t>（网上打印）；</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596" w:firstLineChars="200"/>
        <w:textAlignment w:val="auto"/>
        <w:rPr>
          <w:rFonts w:hint="eastAsia" w:ascii="仿宋_GB2312" w:hAnsi="仿宋_GB2312" w:eastAsia="仿宋_GB2312" w:cs="仿宋_GB2312"/>
          <w:b/>
          <w:sz w:val="32"/>
          <w:szCs w:val="32"/>
          <w:highlight w:val="none"/>
        </w:rPr>
      </w:pPr>
      <w:r>
        <w:rPr>
          <w:rFonts w:hint="eastAsia" w:ascii="仿宋_GB2312" w:hAnsi="仿宋_GB2312" w:eastAsia="仿宋_GB2312" w:cs="仿宋_GB2312"/>
          <w:spacing w:val="-11"/>
          <w:sz w:val="32"/>
          <w:szCs w:val="32"/>
          <w:highlight w:val="none"/>
        </w:rPr>
        <w:t>⑥</w:t>
      </w:r>
      <w:r>
        <w:rPr>
          <w:rFonts w:hint="eastAsia" w:ascii="仿宋_GB2312" w:hAnsi="仿宋_GB2312" w:eastAsia="仿宋_GB2312" w:cs="仿宋_GB2312"/>
          <w:spacing w:val="-11"/>
          <w:sz w:val="32"/>
          <w:szCs w:val="32"/>
          <w:highlight w:val="none"/>
          <w:lang w:eastAsia="zh-CN"/>
        </w:rPr>
        <w:t>国有建设用地使用权挂牌出让竞得入选通知书</w:t>
      </w:r>
      <w:r>
        <w:rPr>
          <w:rFonts w:hint="eastAsia" w:ascii="仿宋_GB2312" w:hAnsi="仿宋_GB2312" w:eastAsia="仿宋_GB2312" w:cs="仿宋_GB2312"/>
          <w:spacing w:val="-11"/>
          <w:sz w:val="32"/>
          <w:szCs w:val="32"/>
          <w:highlight w:val="none"/>
        </w:rPr>
        <w:t>（网上打印）；</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⑦竞买保证金不属于银行贷款、股东借款、转贷和募集资金的承诺书</w:t>
      </w:r>
      <w:r>
        <w:rPr>
          <w:rFonts w:hint="eastAsia" w:ascii="仿宋_GB2312" w:hAnsi="仿宋_GB2312" w:eastAsia="仿宋_GB2312" w:cs="仿宋_GB2312"/>
          <w:sz w:val="32"/>
          <w:szCs w:val="32"/>
          <w:highlight w:val="none"/>
          <w:lang w:val="en-US" w:eastAsia="zh-CN"/>
        </w:rPr>
        <w:t>；</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⑧不存在伪造公文骗取用地和非法倒卖土地、非法转让土地使用权、因企业原因造成土地闲置一年以上、违背出让合同约定条件开发利用土地、擅自改变保障性安居工程用地用途搞商品房开发、拖欠土地出让金等违法、违规、违约行为的承诺书；</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⑨挂牌文件规定需要提交的其他文件。</w:t>
      </w:r>
    </w:p>
    <w:p>
      <w:pPr>
        <w:keepNext w:val="0"/>
        <w:keepLines w:val="0"/>
        <w:pageBreakBefore w:val="0"/>
        <w:widowControl w:val="0"/>
        <w:tabs>
          <w:tab w:val="left" w:pos="420"/>
        </w:tabs>
        <w:kinsoku/>
        <w:wordWrap/>
        <w:overflowPunct/>
        <w:topLinePunct w:val="0"/>
        <w:autoSpaceDE/>
        <w:autoSpaceDN/>
        <w:bidi w:val="0"/>
        <w:adjustRightInd/>
        <w:snapToGrid/>
        <w:spacing w:line="480" w:lineRule="exact"/>
        <w:ind w:left="0" w:leftChars="0" w:right="0"/>
        <w:textAlignment w:val="auto"/>
        <w:rPr>
          <w:rFonts w:hint="eastAsia" w:ascii="仿宋_GB2312" w:eastAsia="仿宋_GB2312"/>
          <w:sz w:val="32"/>
          <w:szCs w:val="32"/>
        </w:rPr>
      </w:pPr>
      <w:r>
        <w:rPr>
          <w:rFonts w:hint="eastAsia" w:ascii="仿宋_GB2312" w:eastAsia="仿宋_GB2312"/>
          <w:sz w:val="32"/>
          <w:szCs w:val="32"/>
        </w:rPr>
        <w:t xml:space="preserve"> （2）自然人申请的，应提交下列文件：</w:t>
      </w:r>
    </w:p>
    <w:p>
      <w:pPr>
        <w:keepNext w:val="0"/>
        <w:keepLines w:val="0"/>
        <w:pageBreakBefore w:val="0"/>
        <w:widowControl w:val="0"/>
        <w:tabs>
          <w:tab w:val="left" w:pos="420"/>
        </w:tabs>
        <w:kinsoku/>
        <w:wordWrap/>
        <w:overflowPunct/>
        <w:topLinePunct w:val="0"/>
        <w:autoSpaceDE/>
        <w:autoSpaceDN/>
        <w:bidi w:val="0"/>
        <w:adjustRightInd/>
        <w:snapToGrid/>
        <w:spacing w:line="480" w:lineRule="exact"/>
        <w:ind w:left="0" w:leftChars="0" w:right="0"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rPr>
        <w:t>①</w:t>
      </w:r>
      <w:r>
        <w:rPr>
          <w:rFonts w:hint="eastAsia" w:ascii="仿宋_GB2312" w:hAnsi="Times New Roman" w:eastAsia="仿宋_GB2312" w:cs="Times New Roman"/>
          <w:sz w:val="32"/>
          <w:szCs w:val="32"/>
          <w:lang w:val="en-US" w:eastAsia="zh-CN"/>
        </w:rPr>
        <w:t>国有建设用地使用权挂牌出让竞买申请书（网上打印）；</w:t>
      </w:r>
    </w:p>
    <w:p>
      <w:pPr>
        <w:keepNext w:val="0"/>
        <w:keepLines w:val="0"/>
        <w:pageBreakBefore w:val="0"/>
        <w:widowControl w:val="0"/>
        <w:tabs>
          <w:tab w:val="left" w:pos="420"/>
        </w:tabs>
        <w:kinsoku/>
        <w:wordWrap/>
        <w:overflowPunct/>
        <w:topLinePunct w:val="0"/>
        <w:autoSpaceDE/>
        <w:autoSpaceDN/>
        <w:bidi w:val="0"/>
        <w:adjustRightInd/>
        <w:snapToGrid/>
        <w:spacing w:line="480" w:lineRule="exact"/>
        <w:ind w:left="0" w:leftChars="0" w:right="0" w:firstLine="640" w:firstLineChars="200"/>
        <w:textAlignment w:val="auto"/>
        <w:rPr>
          <w:rFonts w:hint="eastAsia" w:ascii="仿宋_GB2312" w:eastAsia="仿宋_GB2312"/>
          <w:sz w:val="32"/>
          <w:szCs w:val="32"/>
        </w:rPr>
      </w:pPr>
      <w:r>
        <w:rPr>
          <w:rFonts w:hint="eastAsia" w:ascii="仿宋_GB2312" w:eastAsia="仿宋_GB2312"/>
          <w:sz w:val="32"/>
          <w:szCs w:val="32"/>
        </w:rPr>
        <w:t>②申请人有效身份证明文件身份证原件及复印件；</w:t>
      </w:r>
    </w:p>
    <w:p>
      <w:pPr>
        <w:keepNext w:val="0"/>
        <w:keepLines w:val="0"/>
        <w:pageBreakBefore w:val="0"/>
        <w:widowControl w:val="0"/>
        <w:tabs>
          <w:tab w:val="left" w:pos="420"/>
        </w:tabs>
        <w:kinsoku/>
        <w:wordWrap/>
        <w:overflowPunct/>
        <w:topLinePunct w:val="0"/>
        <w:autoSpaceDE/>
        <w:autoSpaceDN/>
        <w:bidi w:val="0"/>
        <w:adjustRightInd/>
        <w:snapToGrid/>
        <w:spacing w:line="480" w:lineRule="exact"/>
        <w:ind w:left="0" w:leftChars="0" w:right="0" w:firstLine="640" w:firstLineChars="200"/>
        <w:textAlignment w:val="auto"/>
        <w:rPr>
          <w:rFonts w:hint="eastAsia" w:ascii="仿宋_GB2312" w:eastAsia="仿宋_GB2312"/>
          <w:sz w:val="32"/>
          <w:szCs w:val="32"/>
        </w:rPr>
      </w:pPr>
      <w:r>
        <w:rPr>
          <w:rFonts w:hint="eastAsia" w:ascii="仿宋_GB2312" w:eastAsia="仿宋_GB2312"/>
          <w:sz w:val="32"/>
          <w:szCs w:val="32"/>
        </w:rPr>
        <w:t>③申请人委托他人办理的，应提交授权委托书及委托代理人的身份证明文件；</w:t>
      </w:r>
    </w:p>
    <w:p>
      <w:pPr>
        <w:keepNext w:val="0"/>
        <w:keepLines w:val="0"/>
        <w:pageBreakBefore w:val="0"/>
        <w:widowControl w:val="0"/>
        <w:tabs>
          <w:tab w:val="left" w:pos="420"/>
        </w:tabs>
        <w:kinsoku/>
        <w:wordWrap/>
        <w:overflowPunct/>
        <w:topLinePunct w:val="0"/>
        <w:autoSpaceDE/>
        <w:autoSpaceDN/>
        <w:bidi w:val="0"/>
        <w:adjustRightInd/>
        <w:snapToGrid/>
        <w:spacing w:line="480" w:lineRule="exact"/>
        <w:ind w:left="0" w:leftChars="0" w:right="0" w:firstLine="596" w:firstLineChars="200"/>
        <w:textAlignment w:val="auto"/>
        <w:rPr>
          <w:rFonts w:hint="eastAsia" w:ascii="仿宋_GB2312" w:eastAsia="仿宋_GB2312"/>
          <w:b/>
          <w:sz w:val="32"/>
          <w:szCs w:val="32"/>
        </w:rPr>
      </w:pPr>
      <w:r>
        <w:rPr>
          <w:rFonts w:hint="eastAsia" w:ascii="仿宋_GB2312" w:hAnsi="Times New Roman" w:eastAsia="仿宋_GB2312" w:cs="Times New Roman"/>
          <w:spacing w:val="-11"/>
          <w:sz w:val="32"/>
          <w:szCs w:val="32"/>
        </w:rPr>
        <w:t>④</w:t>
      </w:r>
      <w:r>
        <w:rPr>
          <w:rFonts w:hint="eastAsia" w:ascii="仿宋_GB2312" w:hAnsi="Times New Roman" w:eastAsia="仿宋_GB2312" w:cs="Times New Roman"/>
          <w:spacing w:val="-11"/>
          <w:sz w:val="32"/>
          <w:szCs w:val="32"/>
          <w:lang w:eastAsia="zh-CN"/>
        </w:rPr>
        <w:t>国有建设用地使用权挂牌出让保证金到账确认书</w:t>
      </w:r>
      <w:r>
        <w:rPr>
          <w:rFonts w:hint="eastAsia" w:ascii="仿宋_GB2312" w:hAnsi="Times New Roman" w:eastAsia="仿宋_GB2312" w:cs="Times New Roman"/>
          <w:spacing w:val="-11"/>
          <w:sz w:val="32"/>
          <w:szCs w:val="32"/>
        </w:rPr>
        <w:t>（网上打印）；</w:t>
      </w:r>
    </w:p>
    <w:p>
      <w:pPr>
        <w:keepNext w:val="0"/>
        <w:keepLines w:val="0"/>
        <w:pageBreakBefore w:val="0"/>
        <w:widowControl w:val="0"/>
        <w:tabs>
          <w:tab w:val="left" w:pos="420"/>
        </w:tabs>
        <w:kinsoku/>
        <w:wordWrap/>
        <w:overflowPunct/>
        <w:topLinePunct w:val="0"/>
        <w:autoSpaceDE/>
        <w:autoSpaceDN/>
        <w:bidi w:val="0"/>
        <w:adjustRightInd/>
        <w:snapToGrid/>
        <w:spacing w:line="480" w:lineRule="exact"/>
        <w:ind w:left="0" w:leftChars="0" w:right="0" w:firstLine="596" w:firstLineChars="200"/>
        <w:textAlignment w:val="auto"/>
        <w:rPr>
          <w:rFonts w:hint="eastAsia" w:ascii="仿宋_GB2312" w:hAnsi="Times New Roman" w:eastAsia="仿宋_GB2312" w:cs="Times New Roman"/>
          <w:spacing w:val="-11"/>
          <w:sz w:val="32"/>
          <w:szCs w:val="32"/>
        </w:rPr>
      </w:pPr>
      <w:r>
        <w:rPr>
          <w:rFonts w:hint="eastAsia" w:ascii="仿宋_GB2312" w:hAnsi="Times New Roman" w:eastAsia="仿宋_GB2312" w:cs="Times New Roman"/>
          <w:spacing w:val="-11"/>
          <w:sz w:val="32"/>
          <w:szCs w:val="32"/>
        </w:rPr>
        <w:t>⑤</w:t>
      </w:r>
      <w:r>
        <w:rPr>
          <w:rFonts w:hint="eastAsia" w:ascii="仿宋_GB2312" w:hAnsi="Times New Roman" w:eastAsia="仿宋_GB2312" w:cs="Times New Roman"/>
          <w:spacing w:val="-11"/>
          <w:sz w:val="32"/>
          <w:szCs w:val="32"/>
          <w:lang w:eastAsia="zh-CN"/>
        </w:rPr>
        <w:t>国有建设用地使用权挂牌出让竞得入选人确认书</w:t>
      </w:r>
      <w:r>
        <w:rPr>
          <w:rFonts w:hint="eastAsia" w:ascii="仿宋_GB2312" w:hAnsi="Times New Roman" w:eastAsia="仿宋_GB2312" w:cs="Times New Roman"/>
          <w:spacing w:val="-11"/>
          <w:sz w:val="32"/>
          <w:szCs w:val="32"/>
        </w:rPr>
        <w:t>（网上打印）；</w:t>
      </w:r>
    </w:p>
    <w:p>
      <w:pPr>
        <w:keepNext w:val="0"/>
        <w:keepLines w:val="0"/>
        <w:pageBreakBefore w:val="0"/>
        <w:widowControl w:val="0"/>
        <w:tabs>
          <w:tab w:val="left" w:pos="420"/>
        </w:tabs>
        <w:kinsoku/>
        <w:wordWrap/>
        <w:overflowPunct/>
        <w:topLinePunct w:val="0"/>
        <w:autoSpaceDE/>
        <w:autoSpaceDN/>
        <w:bidi w:val="0"/>
        <w:adjustRightInd/>
        <w:snapToGrid/>
        <w:spacing w:line="480" w:lineRule="exact"/>
        <w:ind w:left="0" w:leftChars="0" w:right="0" w:firstLine="640" w:firstLineChars="200"/>
        <w:textAlignment w:val="auto"/>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eastAsia="zh-CN"/>
        </w:rPr>
        <w:t>⑥竞买保证金不属于银行贷款、股东借款、转贷和募集资金的承诺书；</w:t>
      </w:r>
    </w:p>
    <w:p>
      <w:pPr>
        <w:keepNext w:val="0"/>
        <w:keepLines w:val="0"/>
        <w:pageBreakBefore w:val="0"/>
        <w:widowControl w:val="0"/>
        <w:tabs>
          <w:tab w:val="left" w:pos="420"/>
        </w:tabs>
        <w:kinsoku/>
        <w:wordWrap/>
        <w:overflowPunct/>
        <w:topLinePunct w:val="0"/>
        <w:autoSpaceDE/>
        <w:autoSpaceDN/>
        <w:bidi w:val="0"/>
        <w:adjustRightInd/>
        <w:snapToGrid/>
        <w:spacing w:line="480" w:lineRule="exact"/>
        <w:ind w:left="0" w:leftChars="0" w:right="0" w:firstLine="640" w:firstLineChars="200"/>
        <w:textAlignment w:val="auto"/>
        <w:rPr>
          <w:rFonts w:hint="eastAsia" w:ascii="仿宋_GB2312" w:eastAsia="仿宋_GB2312"/>
          <w:sz w:val="32"/>
          <w:szCs w:val="32"/>
        </w:rPr>
      </w:pPr>
      <w:r>
        <w:rPr>
          <w:rFonts w:hint="eastAsia" w:ascii="仿宋_GB2312" w:eastAsia="仿宋_GB2312"/>
          <w:sz w:val="32"/>
          <w:szCs w:val="32"/>
        </w:rPr>
        <w:t>⑦</w:t>
      </w:r>
      <w:r>
        <w:rPr>
          <w:rFonts w:hint="eastAsia" w:ascii="仿宋_GB2312" w:hAnsi="宋体" w:eastAsia="仿宋_GB2312"/>
          <w:sz w:val="32"/>
          <w:szCs w:val="32"/>
        </w:rPr>
        <w:t>不存在伪造公文骗取用地手续和非法倒卖土地等犯罪行为、非法转让土地使用权等违法行为、因企业原因造成土地闲置一年以上、违背出让合同约定条件开发利用土地、擅自改变保障性安居工程用地用途搞商品房开发、拖欠土地出让金等情形的无竞买限制行为承诺书；</w:t>
      </w:r>
    </w:p>
    <w:p>
      <w:pPr>
        <w:keepNext w:val="0"/>
        <w:keepLines w:val="0"/>
        <w:pageBreakBefore w:val="0"/>
        <w:widowControl w:val="0"/>
        <w:tabs>
          <w:tab w:val="left" w:pos="420"/>
        </w:tabs>
        <w:kinsoku/>
        <w:wordWrap/>
        <w:overflowPunct/>
        <w:topLinePunct w:val="0"/>
        <w:autoSpaceDE/>
        <w:autoSpaceDN/>
        <w:bidi w:val="0"/>
        <w:adjustRightInd/>
        <w:snapToGrid/>
        <w:spacing w:line="480" w:lineRule="exact"/>
        <w:ind w:left="0" w:leftChars="0" w:right="0" w:firstLine="640" w:firstLineChars="200"/>
        <w:textAlignment w:val="auto"/>
        <w:rPr>
          <w:rFonts w:hint="eastAsia" w:ascii="仿宋_GB2312" w:eastAsia="仿宋_GB2312"/>
          <w:sz w:val="32"/>
          <w:szCs w:val="32"/>
        </w:rPr>
      </w:pPr>
      <w:r>
        <w:rPr>
          <w:rFonts w:hint="eastAsia" w:ascii="仿宋_GB2312" w:eastAsia="仿宋_GB2312"/>
          <w:sz w:val="32"/>
          <w:szCs w:val="32"/>
        </w:rPr>
        <w:t>⑧挂牌文件规定需要提交的其他文件。</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t>）其他经济组织申请的，应提交下列文件：</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①</w:t>
      </w:r>
      <w:r>
        <w:rPr>
          <w:rFonts w:hint="eastAsia" w:ascii="仿宋_GB2312" w:hAnsi="仿宋_GB2312" w:eastAsia="仿宋_GB2312" w:cs="仿宋_GB2312"/>
          <w:sz w:val="32"/>
          <w:szCs w:val="32"/>
          <w:highlight w:val="none"/>
          <w:lang w:eastAsia="zh-CN"/>
        </w:rPr>
        <w:t>国有建设用地使用权挂牌出让竞买申请书</w:t>
      </w:r>
      <w:r>
        <w:rPr>
          <w:rFonts w:hint="eastAsia" w:ascii="仿宋_GB2312" w:hAnsi="仿宋_GB2312" w:eastAsia="仿宋_GB2312" w:cs="仿宋_GB2312"/>
          <w:sz w:val="32"/>
          <w:szCs w:val="32"/>
          <w:highlight w:val="none"/>
        </w:rPr>
        <w:t>（网上打印）；</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②表明该组织合法存在的文件或有效证明;</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③表明该组织负责人身份的有效证明文件、身份证原件及复印件；</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④申请人委托他人办理的，应提交授权委托书及委托代理人的身份证原件及复印件；</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548" w:firstLineChars="200"/>
        <w:textAlignment w:val="auto"/>
        <w:rPr>
          <w:rFonts w:hint="eastAsia" w:ascii="仿宋_GB2312" w:hAnsi="仿宋_GB2312" w:eastAsia="仿宋_GB2312" w:cs="仿宋_GB2312"/>
          <w:spacing w:val="-23"/>
          <w:sz w:val="32"/>
          <w:szCs w:val="32"/>
          <w:highlight w:val="none"/>
        </w:rPr>
      </w:pPr>
      <w:r>
        <w:rPr>
          <w:rFonts w:hint="eastAsia" w:ascii="仿宋_GB2312" w:hAnsi="仿宋_GB2312" w:eastAsia="仿宋_GB2312" w:cs="仿宋_GB2312"/>
          <w:spacing w:val="-23"/>
          <w:sz w:val="32"/>
          <w:szCs w:val="32"/>
          <w:highlight w:val="none"/>
        </w:rPr>
        <w:t>⑤</w:t>
      </w:r>
      <w:r>
        <w:rPr>
          <w:rFonts w:hint="eastAsia" w:ascii="仿宋_GB2312" w:hAnsi="仿宋_GB2312" w:eastAsia="仿宋_GB2312" w:cs="仿宋_GB2312"/>
          <w:spacing w:val="-23"/>
          <w:sz w:val="32"/>
          <w:szCs w:val="32"/>
          <w:highlight w:val="none"/>
          <w:lang w:eastAsia="zh-CN"/>
        </w:rPr>
        <w:t>国有建设用地使用权挂牌出让竞买保证金到账确认书</w:t>
      </w:r>
      <w:r>
        <w:rPr>
          <w:rFonts w:hint="eastAsia" w:ascii="仿宋_GB2312" w:hAnsi="仿宋_GB2312" w:eastAsia="仿宋_GB2312" w:cs="仿宋_GB2312"/>
          <w:spacing w:val="-23"/>
          <w:sz w:val="32"/>
          <w:szCs w:val="32"/>
          <w:highlight w:val="none"/>
        </w:rPr>
        <w:t>（网上打印）；</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596" w:firstLineChars="200"/>
        <w:textAlignment w:val="auto"/>
        <w:rPr>
          <w:rFonts w:hint="eastAsia" w:ascii="仿宋_GB2312" w:hAnsi="仿宋_GB2312" w:eastAsia="仿宋_GB2312" w:cs="仿宋_GB2312"/>
          <w:spacing w:val="-11"/>
          <w:sz w:val="32"/>
          <w:szCs w:val="32"/>
          <w:highlight w:val="none"/>
        </w:rPr>
      </w:pPr>
      <w:r>
        <w:rPr>
          <w:rFonts w:hint="eastAsia" w:ascii="仿宋_GB2312" w:hAnsi="仿宋_GB2312" w:eastAsia="仿宋_GB2312" w:cs="仿宋_GB2312"/>
          <w:spacing w:val="-11"/>
          <w:sz w:val="32"/>
          <w:szCs w:val="32"/>
          <w:highlight w:val="none"/>
        </w:rPr>
        <w:t>⑥</w:t>
      </w:r>
      <w:r>
        <w:rPr>
          <w:rFonts w:hint="eastAsia" w:ascii="仿宋_GB2312" w:hAnsi="仿宋_GB2312" w:eastAsia="仿宋_GB2312" w:cs="仿宋_GB2312"/>
          <w:spacing w:val="-11"/>
          <w:sz w:val="32"/>
          <w:szCs w:val="32"/>
          <w:highlight w:val="none"/>
          <w:lang w:eastAsia="zh-CN"/>
        </w:rPr>
        <w:t>国有建设用地使用权挂牌出让竞得入选通知书</w:t>
      </w:r>
      <w:r>
        <w:rPr>
          <w:rFonts w:hint="eastAsia" w:ascii="仿宋_GB2312" w:hAnsi="仿宋_GB2312" w:eastAsia="仿宋_GB2312" w:cs="仿宋_GB2312"/>
          <w:spacing w:val="-11"/>
          <w:sz w:val="32"/>
          <w:szCs w:val="32"/>
          <w:highlight w:val="none"/>
        </w:rPr>
        <w:t>（网上打印）；</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⑦竞买保证金不属于银行贷款、股东借款、转贷和募集资金的承诺书；</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⑧不存在伪造公文骗取用地和非法倒卖土地、非法转让土地使用权、因企业原因造成土地闲置一年以上、违背出让合同约定条件开发利用土地、擅自改变保障性安居工程用地用途搞商品房开发、拖欠土地出让金等违法、违规、违约行为的承诺书；</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⑨挂牌文件规定需要提交的其他文件。</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）境外申请人</w:t>
      </w:r>
      <w:r>
        <w:rPr>
          <w:rFonts w:hint="eastAsia" w:ascii="仿宋_GB2312" w:hAnsi="仿宋_GB2312" w:eastAsia="仿宋_GB2312" w:cs="仿宋_GB2312"/>
          <w:sz w:val="32"/>
          <w:szCs w:val="32"/>
          <w:highlight w:val="none"/>
          <w:lang w:eastAsia="zh-CN"/>
        </w:rPr>
        <w:t>（不含自然人）</w:t>
      </w:r>
      <w:r>
        <w:rPr>
          <w:rFonts w:hint="eastAsia" w:ascii="仿宋_GB2312" w:hAnsi="仿宋_GB2312" w:eastAsia="仿宋_GB2312" w:cs="仿宋_GB2312"/>
          <w:sz w:val="32"/>
          <w:szCs w:val="32"/>
          <w:highlight w:val="none"/>
        </w:rPr>
        <w:t>申请的，应提交下列文件：</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①</w:t>
      </w:r>
      <w:r>
        <w:rPr>
          <w:rFonts w:hint="eastAsia" w:ascii="仿宋_GB2312" w:hAnsi="仿宋_GB2312" w:eastAsia="仿宋_GB2312" w:cs="仿宋_GB2312"/>
          <w:sz w:val="32"/>
          <w:szCs w:val="32"/>
          <w:highlight w:val="none"/>
          <w:lang w:eastAsia="zh-CN"/>
        </w:rPr>
        <w:t>国有建设用地使用权挂牌出让竞买申请书</w:t>
      </w:r>
      <w:r>
        <w:rPr>
          <w:rFonts w:hint="eastAsia" w:ascii="仿宋_GB2312" w:hAnsi="仿宋_GB2312" w:eastAsia="仿宋_GB2312" w:cs="仿宋_GB2312"/>
          <w:sz w:val="32"/>
          <w:szCs w:val="32"/>
          <w:highlight w:val="none"/>
        </w:rPr>
        <w:t>（网上打印）；</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②境外法人及其他组织的有效身份证明文件；</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③申请人委托他人办理的，应提交授权委托书及委托代理人的有效身份证明文件；</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548" w:firstLineChars="200"/>
        <w:textAlignment w:val="auto"/>
        <w:rPr>
          <w:rFonts w:hint="eastAsia" w:ascii="仿宋_GB2312" w:hAnsi="仿宋_GB2312" w:eastAsia="仿宋_GB2312" w:cs="仿宋_GB2312"/>
          <w:spacing w:val="-23"/>
          <w:sz w:val="32"/>
          <w:szCs w:val="32"/>
          <w:highlight w:val="none"/>
          <w:lang w:eastAsia="zh-CN"/>
        </w:rPr>
      </w:pPr>
      <w:r>
        <w:rPr>
          <w:rFonts w:hint="eastAsia" w:ascii="仿宋_GB2312" w:hAnsi="仿宋_GB2312" w:eastAsia="仿宋_GB2312" w:cs="仿宋_GB2312"/>
          <w:spacing w:val="-23"/>
          <w:sz w:val="32"/>
          <w:szCs w:val="32"/>
          <w:highlight w:val="none"/>
          <w:lang w:eastAsia="zh-CN"/>
        </w:rPr>
        <w:t>④国有建设用地使用权挂牌出让竞买保证金到账确认书（网上打印）；</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596" w:firstLineChars="200"/>
        <w:textAlignment w:val="auto"/>
        <w:rPr>
          <w:rFonts w:hint="eastAsia" w:ascii="仿宋_GB2312" w:hAnsi="仿宋_GB2312" w:eastAsia="仿宋_GB2312" w:cs="仿宋_GB2312"/>
          <w:spacing w:val="-11"/>
          <w:sz w:val="32"/>
          <w:szCs w:val="32"/>
          <w:highlight w:val="none"/>
          <w:lang w:eastAsia="zh-CN"/>
        </w:rPr>
      </w:pPr>
      <w:r>
        <w:rPr>
          <w:rFonts w:hint="eastAsia" w:ascii="仿宋_GB2312" w:hAnsi="仿宋_GB2312" w:eastAsia="仿宋_GB2312" w:cs="仿宋_GB2312"/>
          <w:spacing w:val="-11"/>
          <w:sz w:val="32"/>
          <w:szCs w:val="32"/>
          <w:highlight w:val="none"/>
          <w:lang w:eastAsia="zh-CN"/>
        </w:rPr>
        <w:t>⑤国有建设用地使用权挂牌出让竞得入选通知书（网上打印）；</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⑥竞买保证金不属于银行贷款、股东借款、转贷和募集资金的承诺书；</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⑦不存在伪造公文骗取用地和非法倒卖土地、非法转让土地使用权、因企业原因造成土地闲置一年以上、违背出让合同约定条件开发利用土地、擅自改变保障性安居工程用地用途搞商品房开发、拖欠土地出让金等违法、违规、违约行为的承诺书；</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⑧挂牌文件规定需要提交的其他文件。</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）联合申请的，应提交下列文件：</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①联合申请各方共同签署的</w:t>
      </w:r>
      <w:r>
        <w:rPr>
          <w:rFonts w:hint="eastAsia" w:ascii="仿宋_GB2312" w:hAnsi="仿宋_GB2312" w:eastAsia="仿宋_GB2312" w:cs="仿宋_GB2312"/>
          <w:sz w:val="32"/>
          <w:szCs w:val="32"/>
          <w:highlight w:val="none"/>
          <w:lang w:eastAsia="zh-CN"/>
        </w:rPr>
        <w:t>国有建设用地使用权挂牌出让竞买申请书</w:t>
      </w:r>
      <w:r>
        <w:rPr>
          <w:rFonts w:hint="eastAsia" w:ascii="仿宋_GB2312" w:hAnsi="仿宋_GB2312" w:eastAsia="仿宋_GB2312" w:cs="仿宋_GB2312"/>
          <w:sz w:val="32"/>
          <w:szCs w:val="32"/>
          <w:highlight w:val="none"/>
        </w:rPr>
        <w:t>（网上打印）；</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②联合申请各方的有效身份证明文件；</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③联合竞买协议，协议要规定联合各方的权利、义务，包括联合各方的出资比例等，并明确签订《国有土地使用权出让合同》时的受让人；</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④申请人委托他人办理的，应提交授权委托书及委托代理人的有效身份证明文件；</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572" w:firstLineChars="200"/>
        <w:textAlignment w:val="auto"/>
        <w:rPr>
          <w:rFonts w:hint="eastAsia" w:ascii="仿宋_GB2312" w:hAnsi="仿宋_GB2312" w:eastAsia="仿宋_GB2312" w:cs="仿宋_GB2312"/>
          <w:spacing w:val="-11"/>
          <w:sz w:val="32"/>
          <w:szCs w:val="32"/>
          <w:highlight w:val="none"/>
        </w:rPr>
      </w:pPr>
      <w:r>
        <w:rPr>
          <w:rFonts w:hint="eastAsia" w:ascii="仿宋_GB2312" w:hAnsi="仿宋_GB2312" w:eastAsia="仿宋_GB2312" w:cs="仿宋_GB2312"/>
          <w:spacing w:val="-17"/>
          <w:sz w:val="32"/>
          <w:szCs w:val="32"/>
          <w:highlight w:val="none"/>
        </w:rPr>
        <w:t>⑤</w:t>
      </w:r>
      <w:r>
        <w:rPr>
          <w:rFonts w:hint="eastAsia" w:ascii="仿宋_GB2312" w:hAnsi="仿宋_GB2312" w:eastAsia="仿宋_GB2312" w:cs="仿宋_GB2312"/>
          <w:spacing w:val="-17"/>
          <w:sz w:val="32"/>
          <w:szCs w:val="32"/>
          <w:highlight w:val="none"/>
          <w:lang w:eastAsia="zh-CN"/>
        </w:rPr>
        <w:t>国有建设用地使用权挂牌出让竞买保证金到账确认书</w:t>
      </w:r>
      <w:r>
        <w:rPr>
          <w:rFonts w:hint="eastAsia" w:ascii="仿宋_GB2312" w:hAnsi="仿宋_GB2312" w:eastAsia="仿宋_GB2312" w:cs="仿宋_GB2312"/>
          <w:spacing w:val="-17"/>
          <w:sz w:val="32"/>
          <w:szCs w:val="32"/>
          <w:highlight w:val="none"/>
        </w:rPr>
        <w:t>（网上打印）；</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⑥挂牌文件规定需要提交的其他文件。</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b/>
          <w:sz w:val="32"/>
          <w:szCs w:val="32"/>
          <w:highlight w:val="none"/>
        </w:rPr>
      </w:pPr>
      <w:r>
        <w:rPr>
          <w:rFonts w:hint="eastAsia" w:ascii="仿宋_GB2312" w:hAnsi="仿宋_GB2312" w:eastAsia="仿宋_GB2312" w:cs="仿宋_GB2312"/>
          <w:sz w:val="32"/>
          <w:szCs w:val="32"/>
          <w:highlight w:val="none"/>
        </w:rPr>
        <w:t>上述文件中，申请书必须用中文书写，其他文件可以使用其他语言，但必须附中文译本，所有文件的解释以中文译本为准。</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97" w:firstLineChars="218"/>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2.经审查，有下列情形之一的，竞得结果无效，竞买保证金不予退还：</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97" w:firstLineChars="218"/>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（1）申请人不具备竞买资格；</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97" w:firstLineChars="218"/>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（2）申请文件不齐全或不符合规定的；</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97" w:firstLineChars="218"/>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（3）委托他人代理，委托文件不齐全、委托事项不明确或不符合规定的；</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97" w:firstLineChars="218"/>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（4）不符合挂牌出让文件的规定和要求或未按规定提交其他文件的；</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97" w:firstLineChars="218"/>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（5）法律法规规定的其他情形。</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（四）签订《成交确认书》</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确定竞得人后，延津县公共资源交易中心与竞得人当场签订《成交确认书》。竞得人拒绝签订《成交确认书》也不能对抗挂牌成交结果的法律效力。</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（五）成交公示</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本次成交结果将在中国土地市场网进行公示。</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（六）签订《国有建设用地使用权出让合同》</w:t>
      </w:r>
    </w:p>
    <w:p>
      <w:pPr>
        <w:keepNext w:val="0"/>
        <w:keepLines w:val="0"/>
        <w:pageBreakBefore w:val="0"/>
        <w:widowControl w:val="0"/>
        <w:tabs>
          <w:tab w:val="left" w:pos="420"/>
          <w:tab w:val="left" w:pos="615"/>
        </w:tabs>
        <w:kinsoku/>
        <w:wordWrap/>
        <w:overflowPunct/>
        <w:topLinePunct w:val="0"/>
        <w:autoSpaceDE/>
        <w:autoSpaceDN/>
        <w:bidi w:val="0"/>
        <w:adjustRightInd/>
        <w:snapToGrid/>
        <w:spacing w:line="540" w:lineRule="exact"/>
        <w:ind w:left="0" w:leftChars="0" w:righ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本次成交结果经中国土地市场网公示后，由延津县</w:t>
      </w:r>
      <w:r>
        <w:rPr>
          <w:rFonts w:hint="eastAsia" w:ascii="仿宋_GB2312" w:hAnsi="仿宋_GB2312" w:eastAsia="仿宋_GB2312" w:cs="仿宋_GB2312"/>
          <w:sz w:val="32"/>
          <w:szCs w:val="32"/>
          <w:highlight w:val="none"/>
          <w:lang w:val="en-US" w:eastAsia="zh-CN"/>
        </w:rPr>
        <w:t>自然</w:t>
      </w:r>
      <w:r>
        <w:rPr>
          <w:rFonts w:hint="eastAsia" w:ascii="仿宋_GB2312" w:hAnsi="仿宋_GB2312" w:eastAsia="仿宋_GB2312" w:cs="仿宋_GB2312"/>
          <w:sz w:val="32"/>
          <w:szCs w:val="32"/>
          <w:highlight w:val="none"/>
        </w:rPr>
        <w:t>资源局</w:t>
      </w:r>
      <w:r>
        <w:rPr>
          <w:rFonts w:hint="eastAsia" w:ascii="仿宋_GB2312" w:hAnsi="仿宋_GB2312" w:eastAsia="仿宋_GB2312" w:cs="仿宋_GB2312"/>
          <w:sz w:val="32"/>
          <w:szCs w:val="32"/>
          <w:highlight w:val="none"/>
          <w:lang w:eastAsia="zh-CN"/>
        </w:rPr>
        <w:t>开发</w:t>
      </w:r>
      <w:r>
        <w:rPr>
          <w:rFonts w:hint="eastAsia" w:ascii="仿宋_GB2312" w:hAnsi="仿宋_GB2312" w:eastAsia="仿宋_GB2312" w:cs="仿宋_GB2312"/>
          <w:sz w:val="32"/>
          <w:szCs w:val="32"/>
          <w:highlight w:val="none"/>
        </w:rPr>
        <w:t>利用股通知竞得人领取《签订国有建设用地使用权出让合同通知书》。竞得人须在《通知书》规定的时间内持《成交确认书》到延津县</w:t>
      </w:r>
      <w:r>
        <w:rPr>
          <w:rFonts w:hint="eastAsia" w:ascii="仿宋_GB2312" w:hAnsi="仿宋_GB2312" w:eastAsia="仿宋_GB2312" w:cs="仿宋_GB2312"/>
          <w:sz w:val="32"/>
          <w:szCs w:val="32"/>
          <w:highlight w:val="none"/>
          <w:lang w:val="en-US" w:eastAsia="zh-CN"/>
        </w:rPr>
        <w:t>自然</w:t>
      </w:r>
      <w:r>
        <w:rPr>
          <w:rFonts w:hint="eastAsia" w:ascii="仿宋_GB2312" w:hAnsi="仿宋_GB2312" w:eastAsia="仿宋_GB2312" w:cs="仿宋_GB2312"/>
          <w:sz w:val="32"/>
          <w:szCs w:val="32"/>
          <w:highlight w:val="none"/>
        </w:rPr>
        <w:t>资源局</w:t>
      </w:r>
      <w:r>
        <w:rPr>
          <w:rFonts w:hint="eastAsia" w:ascii="仿宋_GB2312" w:hAnsi="仿宋_GB2312" w:eastAsia="仿宋_GB2312" w:cs="仿宋_GB2312"/>
          <w:sz w:val="32"/>
          <w:szCs w:val="32"/>
          <w:highlight w:val="none"/>
          <w:lang w:eastAsia="zh-CN"/>
        </w:rPr>
        <w:t>开发</w:t>
      </w:r>
      <w:r>
        <w:rPr>
          <w:rFonts w:hint="eastAsia" w:ascii="仿宋_GB2312" w:hAnsi="仿宋_GB2312" w:eastAsia="仿宋_GB2312" w:cs="仿宋_GB2312"/>
          <w:sz w:val="32"/>
          <w:szCs w:val="32"/>
          <w:highlight w:val="none"/>
        </w:rPr>
        <w:t>利用股签订《国有建设用地使用权出让合同》。</w:t>
      </w:r>
    </w:p>
    <w:p>
      <w:pPr>
        <w:keepNext w:val="0"/>
        <w:keepLines w:val="0"/>
        <w:pageBreakBefore w:val="0"/>
        <w:widowControl w:val="0"/>
        <w:tabs>
          <w:tab w:val="left" w:pos="420"/>
          <w:tab w:val="left" w:pos="615"/>
        </w:tabs>
        <w:kinsoku/>
        <w:wordWrap/>
        <w:overflowPunct/>
        <w:topLinePunct w:val="0"/>
        <w:autoSpaceDE/>
        <w:autoSpaceDN/>
        <w:bidi w:val="0"/>
        <w:adjustRightInd/>
        <w:snapToGrid/>
        <w:spacing w:line="540" w:lineRule="exact"/>
        <w:ind w:left="0" w:leftChars="0" w:righ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出让人与竞得人依据《成交确认书》的要求签订《国有建设用地使用权出让合同》。</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（七）出让结果公布</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我局将在本次国有建设用地使用权挂牌出让活动结束后10个工作日内，在中国土地市场网和网上交易系统向社会公布。</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十、报价规则</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w:t>
      </w:r>
      <w:r>
        <w:rPr>
          <w:rFonts w:hint="eastAsia" w:ascii="仿宋_GB2312" w:hAnsi="仿宋_GB2312" w:eastAsia="仿宋_GB2312" w:cs="仿宋_GB2312"/>
          <w:bCs/>
          <w:sz w:val="32"/>
          <w:szCs w:val="32"/>
          <w:highlight w:val="none"/>
        </w:rPr>
        <w:t>本次挂牌以价高者得的原则（有底价的不得低于底价）确定竞得入选人。</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pacing w:val="-6"/>
          <w:sz w:val="32"/>
          <w:szCs w:val="32"/>
          <w:highlight w:val="none"/>
        </w:rPr>
      </w:pPr>
      <w:r>
        <w:rPr>
          <w:rFonts w:hint="eastAsia" w:ascii="仿宋_GB2312" w:hAnsi="仿宋_GB2312" w:eastAsia="仿宋_GB2312" w:cs="仿宋_GB2312"/>
          <w:sz w:val="32"/>
          <w:szCs w:val="32"/>
          <w:highlight w:val="none"/>
        </w:rPr>
        <w:t>（二）</w:t>
      </w:r>
      <w:r>
        <w:rPr>
          <w:rFonts w:hint="eastAsia" w:ascii="仿宋_GB2312" w:hAnsi="仿宋_GB2312" w:eastAsia="仿宋_GB2312" w:cs="仿宋_GB2312"/>
          <w:spacing w:val="-6"/>
          <w:sz w:val="32"/>
          <w:szCs w:val="32"/>
          <w:highlight w:val="none"/>
        </w:rPr>
        <w:t>挂牌以报价、竞价方式进行，报价一经提交，不得撤回。</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本次挂牌以增价方式进行报价，每次报价都在当前最高报价或起始价的基础上以加价幅度的整倍数递增。初次报价不得低于挂牌起始价。</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（三）在报价期间，竞买人可多次报价。</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十一、注意事项</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竞买人须全面阅读有关挂牌文件，如有疑问可以在挂牌活动开始日以前向延津县公共资源交易中心及我单位咨询。竞买人自行到现场踏勘挂牌出让宗地。竞买申请一经受理确认后，即视为竞买人对挂牌文件及出让宗地现状无异议并全部接受，并对有关承诺承担法律责任。</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sz w:val="32"/>
          <w:szCs w:val="32"/>
          <w:highlight w:val="none"/>
        </w:rPr>
        <w:t>（二）拟成立新公司进行开发建设的，新公司须是由竞买人在竞得宗地所在地成立的绝对控股公司，同时，应在《</w:t>
      </w:r>
      <w:r>
        <w:rPr>
          <w:rFonts w:hint="eastAsia" w:ascii="仿宋_GB2312" w:hAnsi="仿宋_GB2312" w:eastAsia="仿宋_GB2312" w:cs="仿宋_GB2312"/>
          <w:b/>
          <w:sz w:val="32"/>
          <w:szCs w:val="32"/>
          <w:highlight w:val="none"/>
          <w:lang w:eastAsia="zh-CN"/>
        </w:rPr>
        <w:t>国有建设用地使用权挂牌出让竞买申请书</w:t>
      </w:r>
      <w:r>
        <w:rPr>
          <w:rFonts w:hint="eastAsia" w:ascii="仿宋_GB2312" w:hAnsi="仿宋_GB2312" w:eastAsia="仿宋_GB2312" w:cs="仿宋_GB2312"/>
          <w:b/>
          <w:sz w:val="32"/>
          <w:szCs w:val="32"/>
          <w:highlight w:val="none"/>
        </w:rPr>
        <w:t>》中明确新公司的出资构成、成立时间等内容。</w:t>
      </w:r>
      <w:r>
        <w:rPr>
          <w:rFonts w:hint="eastAsia" w:ascii="仿宋_GB2312" w:hAnsi="仿宋_GB2312" w:eastAsia="仿宋_GB2312" w:cs="仿宋_GB2312"/>
          <w:sz w:val="32"/>
          <w:szCs w:val="32"/>
          <w:highlight w:val="none"/>
        </w:rPr>
        <w:t>我局可以根据挂牌出让结果与竞得人签订《国有建设用地使用权出让合同》，在竞得人按约定办理完新公司注册登记手续后，再与新公司签订《国有建设用地使用权出让合同变更协议》；或直接与新公司签订《国有建设用地使用权出让合同》。</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（三）本次挂牌无底价。</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（四）报价一经提交，不得撤回。</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确定竞得人后,延津县公共资源交易中心与竞得人当场签订《成交确认书》。委托他人代签的，应提交法定代表人亲笔签名并盖章的授权委托书。《成交确认书》对挂牌人和竞得人具有法律效力，挂牌人改变挂牌结果的，或者竞得人放弃竞得宗地的，应承担法律责任。</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（六）</w:t>
      </w:r>
      <w:r>
        <w:rPr>
          <w:rFonts w:hint="eastAsia" w:ascii="仿宋_GB2312" w:hAnsi="仿宋_GB2312" w:eastAsia="仿宋_GB2312" w:cs="仿宋_GB2312"/>
          <w:sz w:val="32"/>
          <w:szCs w:val="32"/>
          <w:highlight w:val="none"/>
          <w:lang w:val="en-US" w:eastAsia="zh-CN"/>
        </w:rPr>
        <w:t>挂牌成交后</w:t>
      </w:r>
      <w:r>
        <w:rPr>
          <w:rFonts w:hint="eastAsia" w:ascii="仿宋_GB2312" w:hAnsi="仿宋_GB2312" w:eastAsia="仿宋_GB2312" w:cs="仿宋_GB2312"/>
          <w:sz w:val="32"/>
          <w:szCs w:val="32"/>
          <w:highlight w:val="none"/>
        </w:rPr>
        <w:t>成交总价款20%的部分为该宗地的定金，竞得人交纳的竞买保证金相当于成交价款</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rPr>
        <w:t>0%的部分</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自动转作受让宗地的定金，其他转作该宗地出让价款</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未竞得人缴纳的竞买保证金，按相关程序在挂牌活动结束后5个工作日内予以退还，不计利息。</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（七）本次出让宗地面积以实际测量的面积计算成交价款。</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（八）竞得人应当按照成交确认书的要求与出让人签订《国有建设用地使用权出让合同》。</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（九）本次出让的土地价格不含有关税费等其他相关费用，竞得人应按相关法律规定承担相关税费。</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5"/>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（十）本次出让范围内不含地下资源、埋藏物、隐藏物等不可预见因素，由此产生的任何改造、迁移等问题由竞得人自行处理解决，并承担一切费用。</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（十一）竞得人在建设中遇到的各种不可预见问题，由竞得人自行解决，并承担一切费用。</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（十二）有下列情形之一的，由延津县公共资源交易中心在征得出让人同意后，应当在挂牌开始前终止挂牌活动，并通知竞买人：</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1.竞买人串通损害国家利益、社会利益或他人合法权益的；</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2.挂牌工作人员私下接触竞买人，足以影响挂牌公正性的；</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3.应当依法终止挂牌活动的其他情形。</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（十三）出让金交纳期限</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按出让合同约定交纳。</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（十四）土地交付时间及交付方式</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5"/>
        <w:textAlignment w:val="auto"/>
        <w:rPr>
          <w:rFonts w:hint="eastAsia" w:ascii="仿宋_GB2312" w:hAnsi="仿宋_GB2312" w:eastAsia="仿宋_GB2312" w:cs="仿宋_GB2312"/>
          <w:b/>
          <w:sz w:val="32"/>
          <w:szCs w:val="32"/>
          <w:highlight w:val="none"/>
        </w:rPr>
      </w:pPr>
      <w:r>
        <w:rPr>
          <w:rFonts w:hint="eastAsia" w:ascii="仿宋_GB2312" w:hAnsi="仿宋_GB2312" w:eastAsia="仿宋_GB2312" w:cs="仿宋_GB2312"/>
          <w:sz w:val="32"/>
          <w:szCs w:val="32"/>
          <w:highlight w:val="none"/>
        </w:rPr>
        <w:t>以出让合同约定为准。</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5"/>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（十五）办理不动产登记时间及条件</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5"/>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竞得人须按照出让合同约定交清全部土地出让价款及其他有关税费，方可办理不动产登记。</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5"/>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（十六）开发建设要求</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5"/>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自交付土地之日起，应在一年内开工建设，自开工之日起三年内竣工（以出让合同约定为准）。</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5"/>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（十七）挂牌不成交的，按规定由我局重新组织出让。</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5"/>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（十八）参加挂牌活动的人员，须严格遵守网上交易规则。</w:t>
      </w:r>
    </w:p>
    <w:p>
      <w:pPr>
        <w:keepNext w:val="0"/>
        <w:keepLines w:val="0"/>
        <w:pageBreakBefore w:val="0"/>
        <w:widowControl w:val="0"/>
        <w:kinsoku/>
        <w:wordWrap/>
        <w:overflowPunct/>
        <w:topLinePunct w:val="0"/>
        <w:autoSpaceDE/>
        <w:autoSpaceDN/>
        <w:bidi w:val="0"/>
        <w:adjustRightInd/>
        <w:snapToGrid/>
        <w:spacing w:line="540" w:lineRule="exact"/>
        <w:ind w:left="0" w:firstLine="639"/>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（十九）特别提示：</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624" w:firstLineChars="200"/>
        <w:textAlignment w:val="auto"/>
        <w:rPr>
          <w:rFonts w:hint="eastAsia" w:ascii="仿宋_GB2312" w:hAnsi="仿宋_GB2312" w:eastAsia="仿宋_GB2312" w:cs="仿宋_GB2312"/>
          <w:b w:val="0"/>
          <w:bCs w:val="0"/>
          <w:sz w:val="32"/>
          <w:highlight w:val="none"/>
          <w:lang w:val="en-US" w:eastAsia="zh-CN"/>
        </w:rPr>
      </w:pPr>
      <w:r>
        <w:rPr>
          <w:rFonts w:hint="eastAsia" w:ascii="仿宋_GB2312" w:hAnsi="仿宋_GB2312" w:eastAsia="仿宋_GB2312" w:cs="仿宋_GB2312"/>
          <w:b/>
          <w:bCs/>
          <w:spacing w:val="-4"/>
          <w:sz w:val="32"/>
          <w:szCs w:val="32"/>
          <w:lang w:val="en-US" w:eastAsia="zh-CN"/>
        </w:rPr>
        <w:t>1.</w:t>
      </w:r>
      <w:r>
        <w:rPr>
          <w:rFonts w:hint="eastAsia" w:ascii="仿宋_GB2312" w:hAnsi="仿宋_GB2312" w:eastAsia="仿宋_GB2312" w:cs="仿宋_GB2312"/>
          <w:b/>
          <w:bCs/>
          <w:sz w:val="32"/>
          <w:szCs w:val="32"/>
          <w:lang w:val="en-US" w:eastAsia="zh-CN"/>
        </w:rPr>
        <w:t>本次出让为工业项目“标准地”出让，</w:t>
      </w:r>
      <w:r>
        <w:rPr>
          <w:rFonts w:hint="eastAsia" w:ascii="仿宋_GB2312" w:hAnsi="仿宋" w:eastAsia="仿宋_GB2312" w:cs="仿宋_GB2312"/>
          <w:b/>
          <w:bCs/>
          <w:kern w:val="0"/>
          <w:sz w:val="32"/>
          <w:szCs w:val="32"/>
          <w:lang w:val="en-US" w:eastAsia="zh-CN" w:bidi="ar-SA"/>
        </w:rPr>
        <w:t>产业准入类型为化学原料与化学制造业；固定投资强度不低于150万元/亩；项目达产后亩均税收≥10万元/亩；</w:t>
      </w:r>
      <w:r>
        <w:rPr>
          <w:rFonts w:hint="eastAsia" w:ascii="仿宋_GB2312" w:hAnsi="仿宋_GB2312" w:eastAsia="仿宋_GB2312" w:cs="仿宋_GB2312"/>
          <w:b/>
          <w:bCs/>
          <w:sz w:val="32"/>
          <w:szCs w:val="32"/>
          <w:lang w:val="en-US" w:eastAsia="zh-CN"/>
        </w:rPr>
        <w:t>应符合国家和省产业政策，不得设立涉及国家和省限制类、禁止类项目，环境标准符合园区规划环保要求和准入条件（开工前应按规定办理环保审批手续）。</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624" w:firstLineChars="200"/>
        <w:textAlignment w:val="auto"/>
        <w:rPr>
          <w:rFonts w:hint="eastAsia" w:ascii="仿宋_GB2312" w:hAnsi="仿宋_GB2312" w:eastAsia="仿宋_GB2312" w:cs="仿宋_GB2312"/>
          <w:b/>
          <w:bCs/>
          <w:spacing w:val="-4"/>
          <w:sz w:val="32"/>
          <w:szCs w:val="32"/>
          <w:lang w:val="en-US" w:eastAsia="zh-CN"/>
        </w:rPr>
      </w:pPr>
      <w:r>
        <w:rPr>
          <w:rFonts w:hint="eastAsia" w:ascii="仿宋_GB2312" w:hAnsi="仿宋_GB2312" w:eastAsia="仿宋_GB2312" w:cs="仿宋_GB2312"/>
          <w:b/>
          <w:bCs/>
          <w:spacing w:val="-4"/>
          <w:sz w:val="32"/>
          <w:szCs w:val="32"/>
          <w:lang w:val="en-US" w:eastAsia="zh-CN"/>
        </w:rPr>
        <w:t>2.</w:t>
      </w:r>
      <w:r>
        <w:rPr>
          <w:rFonts w:hint="eastAsia" w:ascii="仿宋_GB2312" w:hAnsi="仿宋_GB2312" w:eastAsia="仿宋_GB2312" w:cs="仿宋_GB2312"/>
          <w:b/>
          <w:bCs/>
          <w:sz w:val="32"/>
          <w:szCs w:val="32"/>
          <w:lang w:val="en-US" w:eastAsia="zh-CN"/>
        </w:rPr>
        <w:t>竞得人签订《国有建设用地使用权出让合同》的同时，须与县先进制造业开发区管委会同步签订《工业项目“标准地”履约监管协议》、《“标准地”企业信用承诺》，明确约定期限内应满足的开发建设条件，投产、达产要求以及达不到约定标准应承担的违约责任，直至项目退出等管理内容。</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624" w:firstLineChars="200"/>
        <w:textAlignment w:val="auto"/>
        <w:rPr>
          <w:rFonts w:hint="eastAsia" w:ascii="仿宋_GB2312" w:hAnsi="仿宋_GB2312" w:eastAsia="仿宋_GB2312" w:cs="仿宋_GB2312"/>
          <w:b/>
          <w:bCs/>
          <w:spacing w:val="-4"/>
          <w:sz w:val="32"/>
          <w:szCs w:val="32"/>
          <w:lang w:val="en-US" w:eastAsia="zh-CN"/>
        </w:rPr>
      </w:pPr>
      <w:r>
        <w:rPr>
          <w:rFonts w:hint="eastAsia" w:ascii="仿宋_GB2312" w:hAnsi="仿宋_GB2312" w:eastAsia="仿宋_GB2312" w:cs="仿宋_GB2312"/>
          <w:b/>
          <w:bCs/>
          <w:spacing w:val="-4"/>
          <w:sz w:val="32"/>
          <w:szCs w:val="32"/>
          <w:lang w:val="en-US" w:eastAsia="zh-CN"/>
        </w:rPr>
        <w:t>3.根据延津县人防工程建设规划和有关规定，相应宗地内新建建筑工程要满足乙类常六级防护级别等其他人防功能设计要求。</w:t>
      </w:r>
    </w:p>
    <w:p>
      <w:pPr>
        <w:keepNext w:val="0"/>
        <w:keepLines w:val="0"/>
        <w:pageBreakBefore w:val="0"/>
        <w:widowControl w:val="0"/>
        <w:kinsoku/>
        <w:wordWrap/>
        <w:overflowPunct/>
        <w:topLinePunct w:val="0"/>
        <w:autoSpaceDE/>
        <w:autoSpaceDN/>
        <w:bidi w:val="0"/>
        <w:adjustRightInd/>
        <w:snapToGrid/>
        <w:spacing w:line="420" w:lineRule="exact"/>
        <w:ind w:left="0" w:leftChars="0" w:firstLine="624" w:firstLineChars="200"/>
        <w:textAlignment w:val="auto"/>
        <w:rPr>
          <w:rFonts w:hint="default" w:ascii="仿宋_GB2312" w:hAnsi="仿宋_GB2312" w:eastAsia="仿宋_GB2312" w:cs="仿宋_GB2312"/>
          <w:b/>
          <w:bCs/>
          <w:spacing w:val="-4"/>
          <w:sz w:val="32"/>
          <w:szCs w:val="32"/>
          <w:lang w:val="en-US" w:eastAsia="zh-CN"/>
        </w:rPr>
      </w:pPr>
      <w:r>
        <w:rPr>
          <w:rFonts w:hint="eastAsia" w:ascii="仿宋_GB2312" w:hAnsi="仿宋_GB2312" w:eastAsia="仿宋_GB2312" w:cs="仿宋_GB2312"/>
          <w:b/>
          <w:bCs/>
          <w:spacing w:val="-4"/>
          <w:sz w:val="32"/>
          <w:szCs w:val="32"/>
          <w:lang w:val="en-US" w:eastAsia="zh-CN"/>
        </w:rPr>
        <w:t>4.根据《河南省自然资源厅关于进一步规范土地出让管理工作的通知》文件要求，土地使用权取得后两年内抵押金额不得超过成交价款。</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十</w:t>
      </w:r>
      <w:r>
        <w:rPr>
          <w:rFonts w:hint="eastAsia" w:ascii="仿宋_GB2312" w:hAnsi="仿宋_GB2312" w:eastAsia="仿宋_GB2312" w:cs="仿宋_GB2312"/>
          <w:sz w:val="32"/>
          <w:szCs w:val="32"/>
          <w:highlight w:val="none"/>
          <w:lang w:val="en-US" w:eastAsia="zh-CN"/>
        </w:rPr>
        <w:t>二</w:t>
      </w:r>
      <w:r>
        <w:rPr>
          <w:rFonts w:hint="eastAsia" w:ascii="仿宋_GB2312" w:hAnsi="仿宋_GB2312" w:eastAsia="仿宋_GB2312" w:cs="仿宋_GB2312"/>
          <w:sz w:val="32"/>
          <w:szCs w:val="32"/>
          <w:highlight w:val="none"/>
        </w:rPr>
        <w:t>、法律责任</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15"/>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（一）竞得人有下列行为之一的，视为违约，挂牌出让方可取消竞得人资格，竞买保证金不予退还：</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15"/>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1.竞得人逾期或拒绝签订《成交确认书》的；</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15"/>
        <w:textAlignment w:val="auto"/>
        <w:rPr>
          <w:rFonts w:hint="eastAsia" w:ascii="仿宋_GB2312" w:hAnsi="仿宋_GB2312" w:eastAsia="仿宋_GB2312" w:cs="仿宋_GB2312"/>
          <w:spacing w:val="-6"/>
          <w:sz w:val="32"/>
          <w:szCs w:val="32"/>
          <w:highlight w:val="none"/>
        </w:rPr>
      </w:pP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pacing w:val="-6"/>
          <w:sz w:val="32"/>
          <w:szCs w:val="32"/>
          <w:highlight w:val="none"/>
        </w:rPr>
        <w:t>竞得人逾期或拒绝签订《国有建设用地使用权出让合同》的。</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5"/>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（二）竞得人有下列行为之一的，竞得结果无效，没收保证金；造成损失的，应当依法承担赔偿责任：</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5"/>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1.提供虚假文件隐瞒事实的；</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5"/>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2.采取行贿、恶意串通等非法手段竞得的；</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5"/>
        <w:textAlignment w:val="auto"/>
        <w:rPr>
          <w:rFonts w:hint="eastAsia" w:ascii="仿宋_GB2312" w:hAnsi="仿宋_GB2312" w:eastAsia="仿宋_GB2312" w:cs="仿宋_GB2312"/>
          <w:spacing w:val="-6"/>
          <w:sz w:val="32"/>
          <w:szCs w:val="32"/>
          <w:highlight w:val="none"/>
        </w:rPr>
      </w:pPr>
      <w:r>
        <w:rPr>
          <w:rFonts w:hint="eastAsia" w:ascii="仿宋_GB2312" w:hAnsi="仿宋_GB2312" w:eastAsia="仿宋_GB2312" w:cs="仿宋_GB2312"/>
          <w:sz w:val="32"/>
          <w:szCs w:val="32"/>
          <w:highlight w:val="none"/>
        </w:rPr>
        <w:t>3.</w:t>
      </w:r>
      <w:r>
        <w:rPr>
          <w:rFonts w:hint="eastAsia" w:ascii="仿宋_GB2312" w:hAnsi="仿宋_GB2312" w:eastAsia="仿宋_GB2312" w:cs="仿宋_GB2312"/>
          <w:spacing w:val="-6"/>
          <w:sz w:val="32"/>
          <w:szCs w:val="32"/>
          <w:highlight w:val="none"/>
        </w:rPr>
        <w:t>因竞得入选人资格审查未通过，造成本次出让地块不成交的。</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5"/>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十</w:t>
      </w:r>
      <w:r>
        <w:rPr>
          <w:rFonts w:hint="eastAsia" w:ascii="仿宋_GB2312" w:hAnsi="仿宋_GB2312" w:eastAsia="仿宋_GB2312" w:cs="仿宋_GB2312"/>
          <w:sz w:val="32"/>
          <w:szCs w:val="32"/>
          <w:highlight w:val="none"/>
          <w:lang w:val="en-US" w:eastAsia="zh-CN"/>
        </w:rPr>
        <w:t>四</w:t>
      </w:r>
      <w:r>
        <w:rPr>
          <w:rFonts w:hint="eastAsia" w:ascii="仿宋_GB2312" w:hAnsi="仿宋_GB2312" w:eastAsia="仿宋_GB2312" w:cs="仿宋_GB2312"/>
          <w:sz w:val="32"/>
          <w:szCs w:val="32"/>
          <w:highlight w:val="none"/>
        </w:rPr>
        <w:t>、挂牌出让公告的内容与本挂牌出让文件的内容不一致的，以本挂牌出让文件的内容为准。</w:t>
      </w:r>
    </w:p>
    <w:p>
      <w:pPr>
        <w:keepNext w:val="0"/>
        <w:keepLines w:val="0"/>
        <w:pageBreakBefore w:val="0"/>
        <w:widowControl w:val="0"/>
        <w:tabs>
          <w:tab w:val="left" w:pos="420"/>
        </w:tabs>
        <w:kinsoku/>
        <w:wordWrap/>
        <w:overflowPunct/>
        <w:topLinePunct w:val="0"/>
        <w:autoSpaceDE/>
        <w:autoSpaceDN/>
        <w:bidi w:val="0"/>
        <w:adjustRightInd/>
        <w:snapToGrid/>
        <w:spacing w:line="540" w:lineRule="exact"/>
        <w:ind w:left="0" w:leftChars="0" w:right="0" w:firstLine="645"/>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十</w:t>
      </w:r>
      <w:r>
        <w:rPr>
          <w:rFonts w:hint="eastAsia" w:ascii="仿宋_GB2312" w:hAnsi="仿宋_GB2312" w:eastAsia="仿宋_GB2312" w:cs="仿宋_GB2312"/>
          <w:sz w:val="32"/>
          <w:szCs w:val="32"/>
          <w:highlight w:val="none"/>
          <w:lang w:val="en-US" w:eastAsia="zh-CN"/>
        </w:rPr>
        <w:t>五</w:t>
      </w:r>
      <w:r>
        <w:rPr>
          <w:rFonts w:hint="eastAsia" w:ascii="仿宋_GB2312" w:hAnsi="仿宋_GB2312" w:eastAsia="仿宋_GB2312" w:cs="仿宋_GB2312"/>
          <w:sz w:val="32"/>
          <w:szCs w:val="32"/>
          <w:highlight w:val="none"/>
        </w:rPr>
        <w:t>、我局对本《须知》有解释权。未尽事宜依照《招标拍卖挂牌出让国有土地使用权规范》办理。</w:t>
      </w:r>
    </w:p>
    <w:p>
      <w:pPr>
        <w:keepNext w:val="0"/>
        <w:keepLines w:val="0"/>
        <w:pageBreakBefore w:val="0"/>
        <w:widowControl w:val="0"/>
        <w:tabs>
          <w:tab w:val="left" w:pos="420"/>
          <w:tab w:val="left" w:pos="7560"/>
        </w:tabs>
        <w:kinsoku/>
        <w:wordWrap/>
        <w:overflowPunct/>
        <w:topLinePunct w:val="0"/>
        <w:autoSpaceDE/>
        <w:autoSpaceDN/>
        <w:bidi w:val="0"/>
        <w:adjustRightInd/>
        <w:snapToGrid/>
        <w:spacing w:line="540" w:lineRule="exact"/>
        <w:ind w:left="0" w:leftChars="0" w:right="0"/>
        <w:jc w:val="right"/>
        <w:textAlignment w:val="auto"/>
        <w:rPr>
          <w:rFonts w:hint="eastAsia" w:ascii="仿宋_GB2312" w:hAnsi="仿宋_GB2312" w:eastAsia="仿宋_GB2312" w:cs="仿宋_GB2312"/>
          <w:sz w:val="32"/>
          <w:szCs w:val="32"/>
          <w:highlight w:val="none"/>
        </w:rPr>
      </w:pPr>
    </w:p>
    <w:p>
      <w:pPr>
        <w:keepNext w:val="0"/>
        <w:keepLines w:val="0"/>
        <w:pageBreakBefore w:val="0"/>
        <w:widowControl w:val="0"/>
        <w:tabs>
          <w:tab w:val="left" w:pos="420"/>
          <w:tab w:val="left" w:pos="7560"/>
        </w:tabs>
        <w:kinsoku/>
        <w:wordWrap/>
        <w:overflowPunct/>
        <w:topLinePunct w:val="0"/>
        <w:autoSpaceDE/>
        <w:autoSpaceDN/>
        <w:bidi w:val="0"/>
        <w:adjustRightInd/>
        <w:snapToGrid/>
        <w:spacing w:line="540" w:lineRule="exact"/>
        <w:ind w:left="0" w:leftChars="0" w:right="0"/>
        <w:jc w:val="righ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延津县</w:t>
      </w:r>
      <w:r>
        <w:rPr>
          <w:rFonts w:hint="eastAsia" w:ascii="仿宋_GB2312" w:hAnsi="仿宋_GB2312" w:eastAsia="仿宋_GB2312" w:cs="仿宋_GB2312"/>
          <w:sz w:val="32"/>
          <w:szCs w:val="32"/>
          <w:highlight w:val="none"/>
          <w:lang w:val="en-US" w:eastAsia="zh-CN"/>
        </w:rPr>
        <w:t>自然</w:t>
      </w:r>
      <w:r>
        <w:rPr>
          <w:rFonts w:hint="eastAsia" w:ascii="仿宋_GB2312" w:hAnsi="仿宋_GB2312" w:eastAsia="仿宋_GB2312" w:cs="仿宋_GB2312"/>
          <w:sz w:val="32"/>
          <w:szCs w:val="32"/>
          <w:highlight w:val="none"/>
        </w:rPr>
        <w:t>资源局</w:t>
      </w:r>
    </w:p>
    <w:p>
      <w:pPr>
        <w:keepNext w:val="0"/>
        <w:keepLines w:val="0"/>
        <w:pageBreakBefore w:val="0"/>
        <w:widowControl w:val="0"/>
        <w:tabs>
          <w:tab w:val="left" w:pos="420"/>
          <w:tab w:val="left" w:pos="7560"/>
        </w:tabs>
        <w:kinsoku/>
        <w:wordWrap/>
        <w:overflowPunct/>
        <w:topLinePunct w:val="0"/>
        <w:autoSpaceDE/>
        <w:autoSpaceDN/>
        <w:bidi w:val="0"/>
        <w:adjustRightInd/>
        <w:snapToGrid/>
        <w:spacing w:line="540" w:lineRule="exact"/>
        <w:ind w:left="0" w:leftChars="0" w:right="0"/>
        <w:jc w:val="righ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2026年9月30日</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bCs/>
          <w:sz w:val="44"/>
          <w:szCs w:val="44"/>
          <w:highlight w:val="none"/>
        </w:r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b w:val="0"/>
          <w:bCs/>
          <w:sz w:val="44"/>
          <w:szCs w:val="44"/>
          <w:highlight w:val="none"/>
        </w:rPr>
      </w:pPr>
    </w:p>
    <w:p>
      <w:pPr>
        <w:jc w:val="center"/>
        <w:rPr>
          <w:rFonts w:hint="eastAsia" w:ascii="方正小标宋简体" w:hAnsi="方正小标宋简体" w:eastAsia="方正小标宋简体" w:cs="方正小标宋简体"/>
          <w:b w:val="0"/>
          <w:bCs/>
          <w:sz w:val="44"/>
          <w:szCs w:val="44"/>
          <w:highlight w:val="none"/>
        </w:rPr>
      </w:pPr>
    </w:p>
    <w:p>
      <w:pPr>
        <w:jc w:val="center"/>
        <w:rPr>
          <w:rFonts w:hint="eastAsia" w:ascii="方正小标宋简体" w:hAnsi="方正小标宋简体" w:eastAsia="方正小标宋简体" w:cs="方正小标宋简体"/>
          <w:b w:val="0"/>
          <w:bCs/>
          <w:sz w:val="44"/>
          <w:szCs w:val="44"/>
          <w:highlight w:val="none"/>
        </w:rPr>
      </w:pPr>
    </w:p>
    <w:p>
      <w:pPr>
        <w:jc w:val="center"/>
        <w:rPr>
          <w:rFonts w:hint="eastAsia" w:ascii="方正小标宋简体" w:hAnsi="方正小标宋简体" w:eastAsia="方正小标宋简体" w:cs="方正小标宋简体"/>
          <w:b w:val="0"/>
          <w:bCs/>
          <w:sz w:val="44"/>
          <w:szCs w:val="44"/>
          <w:highlight w:val="none"/>
        </w:rPr>
      </w:pPr>
    </w:p>
    <w:p>
      <w:pPr>
        <w:jc w:val="center"/>
        <w:rPr>
          <w:rFonts w:hint="eastAsia" w:ascii="方正小标宋简体" w:hAnsi="方正小标宋简体" w:eastAsia="方正小标宋简体" w:cs="方正小标宋简体"/>
          <w:b w:val="0"/>
          <w:bCs/>
          <w:sz w:val="44"/>
          <w:szCs w:val="44"/>
          <w:highlight w:val="none"/>
        </w:rPr>
      </w:pPr>
      <w:r>
        <w:rPr>
          <w:rFonts w:hint="eastAsia" w:ascii="方正小标宋简体" w:hAnsi="方正小标宋简体" w:eastAsia="方正小标宋简体" w:cs="方正小标宋简体"/>
          <w:b w:val="0"/>
          <w:bCs/>
          <w:sz w:val="44"/>
          <w:szCs w:val="44"/>
          <w:highlight w:val="none"/>
        </w:rPr>
        <w:t>授权委托书</w:t>
      </w:r>
    </w:p>
    <w:tbl>
      <w:tblPr>
        <w:tblStyle w:val="9"/>
        <w:tblW w:w="0" w:type="auto"/>
        <w:tblInd w:w="1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1244"/>
        <w:gridCol w:w="2572"/>
        <w:gridCol w:w="1800"/>
        <w:gridCol w:w="26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4606"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委   托   人</w:t>
            </w:r>
          </w:p>
        </w:tc>
        <w:tc>
          <w:tcPr>
            <w:tcW w:w="445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受   托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03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姓    名</w:t>
            </w:r>
          </w:p>
        </w:tc>
        <w:tc>
          <w:tcPr>
            <w:tcW w:w="257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sz w:val="32"/>
                <w:szCs w:val="32"/>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姓    名</w:t>
            </w:r>
          </w:p>
        </w:tc>
        <w:tc>
          <w:tcPr>
            <w:tcW w:w="2654"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03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性    别</w:t>
            </w:r>
          </w:p>
        </w:tc>
        <w:tc>
          <w:tcPr>
            <w:tcW w:w="257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sz w:val="32"/>
                <w:szCs w:val="32"/>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性    别</w:t>
            </w:r>
          </w:p>
        </w:tc>
        <w:tc>
          <w:tcPr>
            <w:tcW w:w="2654"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203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出生日期</w:t>
            </w:r>
          </w:p>
        </w:tc>
        <w:tc>
          <w:tcPr>
            <w:tcW w:w="257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sz w:val="32"/>
                <w:szCs w:val="32"/>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出生日期</w:t>
            </w:r>
          </w:p>
        </w:tc>
        <w:tc>
          <w:tcPr>
            <w:tcW w:w="2654"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203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工作单位</w:t>
            </w:r>
          </w:p>
        </w:tc>
        <w:tc>
          <w:tcPr>
            <w:tcW w:w="257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sz w:val="32"/>
                <w:szCs w:val="32"/>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工作单位</w:t>
            </w:r>
          </w:p>
        </w:tc>
        <w:tc>
          <w:tcPr>
            <w:tcW w:w="2654"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034" w:type="dxa"/>
            <w:gridSpan w:val="2"/>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职    务</w:t>
            </w:r>
          </w:p>
        </w:tc>
        <w:tc>
          <w:tcPr>
            <w:tcW w:w="257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sz w:val="32"/>
                <w:szCs w:val="32"/>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职    务</w:t>
            </w:r>
          </w:p>
        </w:tc>
        <w:tc>
          <w:tcPr>
            <w:tcW w:w="2654"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2034"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证件号码</w:t>
            </w:r>
          </w:p>
        </w:tc>
        <w:tc>
          <w:tcPr>
            <w:tcW w:w="257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身份证</w:t>
            </w:r>
            <w:r>
              <w:rPr>
                <w:rFonts w:hint="eastAsia" w:ascii="仿宋_GB2312" w:hAnsi="仿宋_GB2312" w:eastAsia="仿宋_GB2312" w:cs="仿宋_GB2312"/>
                <w:sz w:val="28"/>
                <w:szCs w:val="28"/>
                <w:highlight w:val="none"/>
              </w:rPr>
              <w:sym w:font="Wingdings" w:char="00A8"/>
            </w:r>
            <w:r>
              <w:rPr>
                <w:rFonts w:hint="eastAsia" w:ascii="仿宋_GB2312" w:hAnsi="仿宋_GB2312" w:eastAsia="仿宋_GB2312" w:cs="仿宋_GB2312"/>
                <w:sz w:val="28"/>
                <w:szCs w:val="28"/>
                <w:highlight w:val="none"/>
              </w:rPr>
              <w:t>护照</w:t>
            </w:r>
            <w:r>
              <w:rPr>
                <w:rFonts w:hint="eastAsia" w:ascii="仿宋_GB2312" w:hAnsi="仿宋_GB2312" w:eastAsia="仿宋_GB2312" w:cs="仿宋_GB2312"/>
                <w:sz w:val="28"/>
                <w:szCs w:val="28"/>
                <w:highlight w:val="none"/>
              </w:rPr>
              <w:sym w:font="Wingdings" w:char="00A8"/>
            </w:r>
          </w:p>
        </w:tc>
        <w:tc>
          <w:tcPr>
            <w:tcW w:w="1800"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证件号码</w:t>
            </w:r>
          </w:p>
        </w:tc>
        <w:tc>
          <w:tcPr>
            <w:tcW w:w="2654"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身份证</w:t>
            </w:r>
            <w:r>
              <w:rPr>
                <w:rFonts w:hint="eastAsia" w:ascii="仿宋_GB2312" w:hAnsi="仿宋_GB2312" w:eastAsia="仿宋_GB2312" w:cs="仿宋_GB2312"/>
                <w:sz w:val="28"/>
                <w:szCs w:val="28"/>
                <w:highlight w:val="none"/>
              </w:rPr>
              <w:sym w:font="Wingdings" w:char="00A8"/>
            </w:r>
            <w:r>
              <w:rPr>
                <w:rFonts w:hint="eastAsia" w:ascii="仿宋_GB2312" w:hAnsi="仿宋_GB2312" w:eastAsia="仿宋_GB2312" w:cs="仿宋_GB2312"/>
                <w:sz w:val="28"/>
                <w:szCs w:val="28"/>
                <w:highlight w:val="none"/>
              </w:rPr>
              <w:t>护照</w:t>
            </w:r>
            <w:r>
              <w:rPr>
                <w:rFonts w:hint="eastAsia" w:ascii="仿宋_GB2312" w:hAnsi="仿宋_GB2312" w:eastAsia="仿宋_GB2312" w:cs="仿宋_GB2312"/>
                <w:sz w:val="28"/>
                <w:szCs w:val="28"/>
                <w:highlight w:val="none"/>
              </w:rPr>
              <w:sym w:font="Wingdings" w:char="00A8"/>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2034"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仿宋_GB2312" w:hAnsi="仿宋_GB2312" w:eastAsia="仿宋_GB2312" w:cs="仿宋_GB2312"/>
                <w:sz w:val="32"/>
                <w:szCs w:val="32"/>
                <w:highlight w:val="none"/>
              </w:rPr>
            </w:pPr>
          </w:p>
        </w:tc>
        <w:tc>
          <w:tcPr>
            <w:tcW w:w="2572"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sz w:val="32"/>
                <w:szCs w:val="32"/>
                <w:highlight w:val="none"/>
              </w:rPr>
            </w:pPr>
          </w:p>
        </w:tc>
        <w:tc>
          <w:tcPr>
            <w:tcW w:w="18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仿宋_GB2312" w:hAnsi="仿宋_GB2312" w:eastAsia="仿宋_GB2312" w:cs="仿宋_GB2312"/>
                <w:sz w:val="32"/>
                <w:szCs w:val="32"/>
                <w:highlight w:val="none"/>
              </w:rPr>
            </w:pPr>
          </w:p>
        </w:tc>
        <w:tc>
          <w:tcPr>
            <w:tcW w:w="2654" w:type="dxa"/>
            <w:tcBorders>
              <w:top w:val="single" w:color="auto" w:sz="4" w:space="0"/>
              <w:left w:val="single" w:color="auto" w:sz="4" w:space="0"/>
              <w:bottom w:val="single" w:color="auto" w:sz="4" w:space="0"/>
              <w:right w:val="single" w:color="auto" w:sz="4" w:space="0"/>
            </w:tcBorders>
            <w:noWrap w:val="0"/>
            <w:vAlign w:val="top"/>
          </w:tcPr>
          <w:p>
            <w:pPr>
              <w:rPr>
                <w:rFonts w:hint="eastAsia" w:ascii="仿宋_GB2312" w:hAnsi="仿宋_GB2312" w:eastAsia="仿宋_GB2312" w:cs="仿宋_GB2312"/>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9060" w:type="dxa"/>
            <w:gridSpan w:val="5"/>
            <w:tcBorders>
              <w:top w:val="single" w:color="auto" w:sz="4" w:space="0"/>
              <w:left w:val="single" w:color="auto" w:sz="4" w:space="0"/>
              <w:bottom w:val="single" w:color="auto" w:sz="4" w:space="0"/>
              <w:right w:val="single" w:color="auto" w:sz="4" w:space="0"/>
            </w:tcBorders>
            <w:noWrap w:val="0"/>
            <w:vAlign w:val="top"/>
          </w:tcPr>
          <w:p>
            <w:pPr>
              <w:spacing w:line="48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本人授权</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（受托人）代表本人参加</w:t>
            </w:r>
            <w:r>
              <w:rPr>
                <w:rFonts w:hint="eastAsia" w:ascii="仿宋_GB2312" w:hAnsi="仿宋_GB2312" w:eastAsia="仿宋_GB2312" w:cs="仿宋_GB2312"/>
                <w:sz w:val="30"/>
                <w:szCs w:val="30"/>
                <w:highlight w:val="none"/>
                <w:u w:val="none"/>
              </w:rPr>
              <w:t>20</w:t>
            </w:r>
            <w:r>
              <w:rPr>
                <w:rFonts w:hint="eastAsia" w:ascii="仿宋_GB2312" w:hAnsi="仿宋_GB2312" w:eastAsia="仿宋_GB2312" w:cs="仿宋_GB2312"/>
                <w:sz w:val="30"/>
                <w:szCs w:val="30"/>
                <w:highlight w:val="none"/>
                <w:u w:val="none"/>
                <w:lang w:val="en-US" w:eastAsia="zh-CN"/>
              </w:rPr>
              <w:t>2</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年</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月</w:t>
            </w:r>
            <w:r>
              <w:rPr>
                <w:rFonts w:hint="eastAsia" w:ascii="仿宋_GB2312" w:hAnsi="仿宋_GB2312" w:eastAsia="仿宋_GB2312" w:cs="仿宋_GB2312"/>
                <w:sz w:val="30"/>
                <w:szCs w:val="30"/>
                <w:highlight w:val="non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日</w:t>
            </w:r>
            <w:r>
              <w:rPr>
                <w:rFonts w:hint="eastAsia" w:ascii="仿宋_GB2312" w:hAnsi="仿宋_GB2312" w:eastAsia="仿宋_GB2312" w:cs="仿宋_GB2312"/>
                <w:sz w:val="32"/>
                <w:szCs w:val="32"/>
                <w:highlight w:val="none"/>
              </w:rPr>
              <w:t>在河南省土地使用权网上交易系统举办的</w:t>
            </w:r>
            <w:r>
              <w:rPr>
                <w:rFonts w:hint="eastAsia" w:ascii="仿宋_GB2312" w:hAnsi="仿宋_GB2312" w:eastAsia="仿宋_GB2312" w:cs="仿宋_GB2312"/>
                <w:sz w:val="30"/>
                <w:szCs w:val="30"/>
                <w:highlight w:val="none"/>
              </w:rPr>
              <w:t>编号为</w:t>
            </w:r>
            <w:r>
              <w:rPr>
                <w:rFonts w:hint="eastAsia" w:ascii="仿宋_GB2312" w:hAnsi="仿宋_GB2312" w:eastAsia="仿宋_GB2312" w:cs="仿宋_GB2312"/>
                <w:sz w:val="30"/>
                <w:szCs w:val="30"/>
                <w:highlight w:val="none"/>
                <w:lang w:val="en-US" w:eastAsia="zh-CN"/>
              </w:rPr>
              <w:t>YJ</w:t>
            </w:r>
            <w:r>
              <w:rPr>
                <w:rFonts w:hint="eastAsia" w:ascii="仿宋_GB2312" w:hAnsi="仿宋_GB2312" w:eastAsia="仿宋_GB2312" w:cs="仿宋_GB2312"/>
                <w:sz w:val="30"/>
                <w:szCs w:val="30"/>
                <w:highlight w:val="none"/>
                <w:u w:val="none"/>
              </w:rPr>
              <w:t>20</w:t>
            </w:r>
            <w:r>
              <w:rPr>
                <w:rFonts w:hint="eastAsia" w:ascii="仿宋_GB2312" w:hAnsi="仿宋_GB2312" w:eastAsia="仿宋_GB2312" w:cs="仿宋_GB2312"/>
                <w:sz w:val="30"/>
                <w:szCs w:val="30"/>
                <w:highlight w:val="none"/>
                <w:u w:val="none"/>
                <w:lang w:val="en-US" w:eastAsia="zh-CN"/>
              </w:rPr>
              <w:t>2</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号宗地的国有建设用地使用权网上挂牌出让活动，代表本人签订《成交确认书》和《国有建设用地使用权出让合同》等具有法律意义的文件、凭证等。</w:t>
            </w:r>
          </w:p>
          <w:p>
            <w:pPr>
              <w:spacing w:line="48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受托人在该宗地挂牌出让活动中所做出的承诺、签署的合同或文件，本人均予以承认，并承担由此产生的法律后果。</w:t>
            </w:r>
          </w:p>
          <w:p>
            <w:pPr>
              <w:spacing w:line="480" w:lineRule="exact"/>
              <w:ind w:firstLine="600" w:firstLineChars="200"/>
              <w:rPr>
                <w:rFonts w:hint="eastAsia" w:ascii="仿宋_GB2312" w:hAnsi="仿宋_GB2312" w:eastAsia="仿宋_GB2312" w:cs="仿宋_GB2312"/>
                <w:sz w:val="30"/>
                <w:szCs w:val="30"/>
                <w:highlight w:val="none"/>
                <w:u w:val="single"/>
              </w:rPr>
            </w:pPr>
            <w:r>
              <w:rPr>
                <w:rFonts w:hint="eastAsia" w:ascii="仿宋_GB2312" w:hAnsi="仿宋_GB2312" w:eastAsia="仿宋_GB2312" w:cs="仿宋_GB2312"/>
                <w:sz w:val="30"/>
                <w:szCs w:val="30"/>
                <w:highlight w:val="none"/>
              </w:rPr>
              <w:t xml:space="preserve">                          委托人（签名）：</w:t>
            </w:r>
            <w:r>
              <w:rPr>
                <w:rFonts w:hint="eastAsia" w:ascii="仿宋_GB2312" w:hAnsi="仿宋_GB2312" w:eastAsia="仿宋_GB2312" w:cs="仿宋_GB2312"/>
                <w:sz w:val="30"/>
                <w:szCs w:val="30"/>
                <w:highlight w:val="none"/>
                <w:u w:val="single"/>
              </w:rPr>
              <w:t xml:space="preserve">          </w:t>
            </w:r>
          </w:p>
          <w:p>
            <w:pPr>
              <w:spacing w:line="480" w:lineRule="exact"/>
              <w:ind w:firstLine="600" w:firstLineChars="200"/>
              <w:jc w:val="righ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0"/>
                <w:szCs w:val="30"/>
                <w:highlight w:val="none"/>
              </w:rPr>
              <w:t xml:space="preserve">                               </w:t>
            </w:r>
            <w:r>
              <w:rPr>
                <w:rFonts w:hint="eastAsia" w:ascii="仿宋_GB2312" w:hAnsi="仿宋_GB2312" w:eastAsia="仿宋_GB2312" w:cs="仿宋_GB2312"/>
                <w:sz w:val="30"/>
                <w:szCs w:val="30"/>
                <w:highlight w:val="non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rPr>
              <w:t>年</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rPr>
              <w:t>月</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60" w:hRule="atLeast"/>
        </w:trPr>
        <w:tc>
          <w:tcPr>
            <w:tcW w:w="790" w:type="dxa"/>
            <w:tcBorders>
              <w:top w:val="single" w:color="auto" w:sz="4" w:space="0"/>
              <w:left w:val="single" w:color="auto" w:sz="4" w:space="0"/>
              <w:bottom w:val="single" w:color="auto" w:sz="4" w:space="0"/>
              <w:right w:val="single" w:color="auto" w:sz="4" w:space="0"/>
            </w:tcBorders>
            <w:noWrap w:val="0"/>
            <w:textDirection w:val="tbRlV"/>
            <w:vAlign w:val="center"/>
          </w:tcPr>
          <w:p>
            <w:pPr>
              <w:ind w:left="113" w:right="113"/>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备   注</w:t>
            </w:r>
          </w:p>
        </w:tc>
        <w:tc>
          <w:tcPr>
            <w:tcW w:w="8270" w:type="dxa"/>
            <w:gridSpan w:val="4"/>
            <w:tcBorders>
              <w:top w:val="single" w:color="auto" w:sz="4" w:space="0"/>
              <w:left w:val="single" w:color="auto" w:sz="4" w:space="0"/>
              <w:bottom w:val="single" w:color="auto" w:sz="4" w:space="0"/>
              <w:right w:val="single" w:color="auto" w:sz="4" w:space="0"/>
            </w:tcBorders>
            <w:noWrap w:val="0"/>
            <w:vAlign w:val="top"/>
          </w:tcPr>
          <w:p>
            <w:pPr>
              <w:spacing w:line="6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兹证明本委托书确系本单位法定代表人</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亲自签署。</w:t>
            </w:r>
          </w:p>
          <w:p>
            <w:pPr>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 xml:space="preserve">                         （单位公章）</w:t>
            </w:r>
          </w:p>
          <w:p>
            <w:pPr>
              <w:ind w:firstLine="600" w:firstLineChars="200"/>
              <w:jc w:val="right"/>
              <w:rPr>
                <w:rFonts w:hint="eastAsia" w:ascii="仿宋_GB2312" w:hAnsi="仿宋_GB2312" w:eastAsia="仿宋_GB2312" w:cs="仿宋_GB2312"/>
                <w:sz w:val="30"/>
                <w:szCs w:val="30"/>
                <w:highlight w:val="none"/>
                <w:u w:val="single"/>
              </w:rPr>
            </w:pPr>
            <w:r>
              <w:rPr>
                <w:rFonts w:hint="eastAsia" w:ascii="仿宋_GB2312" w:hAnsi="仿宋_GB2312" w:eastAsia="仿宋_GB2312" w:cs="仿宋_GB2312"/>
                <w:sz w:val="30"/>
                <w:szCs w:val="30"/>
                <w:highlight w:val="none"/>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rPr>
              <w:t>年</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rPr>
              <w:t>月</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rPr>
              <w:t>日</w:t>
            </w:r>
          </w:p>
        </w:tc>
      </w:tr>
    </w:tbl>
    <w:p>
      <w:pPr>
        <w:keepNext w:val="0"/>
        <w:keepLines w:val="0"/>
        <w:pageBreakBefore w:val="0"/>
        <w:widowControl w:val="0"/>
        <w:tabs>
          <w:tab w:val="center" w:pos="4422"/>
          <w:tab w:val="left" w:pos="6480"/>
        </w:tabs>
        <w:kinsoku/>
        <w:wordWrap/>
        <w:overflowPunct/>
        <w:topLinePunct w:val="0"/>
        <w:autoSpaceDE/>
        <w:autoSpaceDN/>
        <w:bidi w:val="0"/>
        <w:adjustRightInd/>
        <w:snapToGrid/>
        <w:spacing w:line="500" w:lineRule="exact"/>
        <w:ind w:left="0"/>
        <w:jc w:val="center"/>
        <w:textAlignment w:val="auto"/>
        <w:rPr>
          <w:rFonts w:hint="eastAsia" w:ascii="方正小标宋简体" w:hAnsi="方正小标宋简体" w:eastAsia="方正小标宋简体" w:cs="方正小标宋简体"/>
          <w:b w:val="0"/>
          <w:bCs w:val="0"/>
          <w:snapToGrid/>
          <w:kern w:val="2"/>
          <w:sz w:val="44"/>
          <w:szCs w:val="44"/>
          <w:highlight w:val="none"/>
          <w:lang w:eastAsia="zh-CN"/>
        </w:rPr>
      </w:pPr>
      <w:r>
        <w:rPr>
          <w:rFonts w:hint="eastAsia" w:ascii="方正小标宋简体" w:hAnsi="方正小标宋简体" w:eastAsia="方正小标宋简体" w:cs="方正小标宋简体"/>
          <w:b w:val="0"/>
          <w:bCs w:val="0"/>
          <w:snapToGrid/>
          <w:kern w:val="2"/>
          <w:sz w:val="44"/>
          <w:szCs w:val="44"/>
          <w:highlight w:val="none"/>
          <w:lang w:eastAsia="zh-CN"/>
        </w:rPr>
        <w:t>国有建设用地使用权成交确认书</w:t>
      </w:r>
    </w:p>
    <w:p>
      <w:pPr>
        <w:pStyle w:val="4"/>
        <w:keepNext w:val="0"/>
        <w:keepLines w:val="0"/>
        <w:pageBreakBefore w:val="0"/>
        <w:wordWrap/>
        <w:overflowPunct/>
        <w:topLinePunct w:val="0"/>
        <w:bidi w:val="0"/>
        <w:spacing w:line="500" w:lineRule="exact"/>
        <w:ind w:left="0"/>
        <w:jc w:val="center"/>
        <w:rPr>
          <w:rFonts w:hint="eastAsia" w:ascii="方正楷体_GBK" w:hAnsi="方正楷体_GBK" w:eastAsia="方正楷体_GBK" w:cs="方正楷体_GBK"/>
          <w:sz w:val="30"/>
          <w:szCs w:val="30"/>
        </w:rPr>
      </w:pPr>
      <w:r>
        <w:rPr>
          <w:rFonts w:hint="eastAsia" w:ascii="方正楷体_GBK" w:hAnsi="方正楷体_GBK" w:eastAsia="方正楷体_GBK" w:cs="方正楷体_GBK"/>
          <w:spacing w:val="23"/>
          <w:sz w:val="30"/>
          <w:szCs w:val="30"/>
        </w:rPr>
        <w:t>(河南省土地使用权网上交易系统)</w:t>
      </w:r>
    </w:p>
    <w:p>
      <w:pPr>
        <w:pStyle w:val="4"/>
        <w:keepNext w:val="0"/>
        <w:keepLines w:val="0"/>
        <w:pageBreakBefore w:val="0"/>
        <w:widowControl/>
        <w:kinsoku w:val="0"/>
        <w:wordWrap/>
        <w:overflowPunct/>
        <w:topLinePunct w:val="0"/>
        <w:autoSpaceDE w:val="0"/>
        <w:autoSpaceDN w:val="0"/>
        <w:bidi w:val="0"/>
        <w:adjustRightInd w:val="0"/>
        <w:snapToGrid w:val="0"/>
        <w:spacing w:line="500" w:lineRule="exact"/>
        <w:ind w:right="0"/>
        <w:jc w:val="center"/>
        <w:textAlignment w:val="baseline"/>
        <w:rPr>
          <w:rFonts w:hint="eastAsia" w:ascii="仿宋_GB2312" w:hAnsi="仿宋_GB2312" w:eastAsia="仿宋_GB2312" w:cs="仿宋_GB2312"/>
          <w:spacing w:val="10"/>
          <w:u w:val="single"/>
        </w:rPr>
      </w:pPr>
    </w:p>
    <w:p>
      <w:pPr>
        <w:pStyle w:val="4"/>
        <w:keepNext w:val="0"/>
        <w:keepLines w:val="0"/>
        <w:pageBreakBefore w:val="0"/>
        <w:widowControl/>
        <w:kinsoku w:val="0"/>
        <w:wordWrap/>
        <w:overflowPunct/>
        <w:topLinePunct w:val="0"/>
        <w:autoSpaceDE w:val="0"/>
        <w:autoSpaceDN w:val="0"/>
        <w:bidi w:val="0"/>
        <w:adjustRightInd w:val="0"/>
        <w:snapToGrid w:val="0"/>
        <w:spacing w:line="500" w:lineRule="exact"/>
        <w:ind w:right="0" w:firstLine="628" w:firstLineChars="200"/>
        <w:jc w:val="both"/>
        <w:textAlignment w:val="baseline"/>
        <w:rPr>
          <w:rFonts w:hint="eastAsia" w:ascii="仿宋_GB2312" w:hAnsi="仿宋_GB2312" w:eastAsia="仿宋_GB2312" w:cs="仿宋_GB2312"/>
          <w:spacing w:val="1"/>
          <w:sz w:val="30"/>
          <w:szCs w:val="30"/>
        </w:rPr>
      </w:pPr>
      <w:r>
        <w:rPr>
          <w:rFonts w:hint="eastAsia" w:ascii="仿宋_GB2312" w:hAnsi="仿宋_GB2312" w:eastAsia="仿宋_GB2312" w:cs="仿宋_GB2312"/>
          <w:spacing w:val="7"/>
          <w:sz w:val="30"/>
          <w:szCs w:val="30"/>
          <w:u w:val="none"/>
          <w:lang w:val="en-US" w:eastAsia="zh-CN"/>
        </w:rPr>
        <w:t>20</w:t>
      </w:r>
      <w:r>
        <w:rPr>
          <w:rFonts w:hint="eastAsia" w:ascii="仿宋_GB2312" w:hAnsi="仿宋_GB2312" w:eastAsia="仿宋_GB2312" w:cs="仿宋_GB2312"/>
          <w:spacing w:val="7"/>
          <w:sz w:val="30"/>
          <w:szCs w:val="30"/>
          <w:u w:val="single"/>
          <w:lang w:val="en-US" w:eastAsia="zh-CN"/>
        </w:rPr>
        <w:t xml:space="preserve">  </w:t>
      </w:r>
      <w:r>
        <w:rPr>
          <w:rFonts w:hint="eastAsia" w:ascii="仿宋_GB2312" w:hAnsi="仿宋_GB2312" w:eastAsia="仿宋_GB2312" w:cs="仿宋_GB2312"/>
          <w:spacing w:val="10"/>
          <w:sz w:val="30"/>
          <w:szCs w:val="30"/>
        </w:rPr>
        <w:t>年</w:t>
      </w:r>
      <w:r>
        <w:rPr>
          <w:rFonts w:hint="eastAsia" w:ascii="仿宋_GB2312" w:hAnsi="仿宋_GB2312" w:eastAsia="仿宋_GB2312" w:cs="仿宋_GB2312"/>
          <w:spacing w:val="10"/>
          <w:sz w:val="30"/>
          <w:szCs w:val="30"/>
          <w:u w:val="single"/>
          <w:lang w:val="en-US" w:eastAsia="zh-CN"/>
        </w:rPr>
        <w:t xml:space="preserve">   </w:t>
      </w:r>
      <w:r>
        <w:rPr>
          <w:rFonts w:hint="eastAsia" w:ascii="仿宋_GB2312" w:hAnsi="仿宋_GB2312" w:eastAsia="仿宋_GB2312" w:cs="仿宋_GB2312"/>
          <w:spacing w:val="10"/>
          <w:sz w:val="30"/>
          <w:szCs w:val="30"/>
        </w:rPr>
        <w:t>月</w:t>
      </w:r>
      <w:r>
        <w:rPr>
          <w:rFonts w:hint="eastAsia" w:ascii="仿宋_GB2312" w:hAnsi="仿宋_GB2312" w:eastAsia="仿宋_GB2312" w:cs="仿宋_GB2312"/>
          <w:spacing w:val="10"/>
          <w:sz w:val="30"/>
          <w:szCs w:val="30"/>
          <w:u w:val="single"/>
          <w:lang w:val="en-US" w:eastAsia="zh-CN"/>
        </w:rPr>
        <w:t xml:space="preserve">  </w:t>
      </w:r>
      <w:r>
        <w:rPr>
          <w:rFonts w:hint="eastAsia" w:ascii="仿宋_GB2312" w:hAnsi="仿宋_GB2312" w:eastAsia="仿宋_GB2312" w:cs="仿宋_GB2312"/>
          <w:spacing w:val="10"/>
          <w:sz w:val="30"/>
          <w:szCs w:val="30"/>
        </w:rPr>
        <w:t>日在河南省土地使用权网上交易系统举行的</w:t>
      </w:r>
      <w:r>
        <w:rPr>
          <w:rFonts w:hint="eastAsia" w:ascii="仿宋_GB2312" w:hAnsi="仿宋_GB2312" w:eastAsia="仿宋_GB2312" w:cs="仿宋_GB2312"/>
          <w:spacing w:val="10"/>
          <w:sz w:val="30"/>
          <w:szCs w:val="30"/>
          <w:u w:val="single"/>
          <w:lang w:val="en-US" w:eastAsia="zh-CN"/>
        </w:rPr>
        <w:t>（项目名称编号）</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pacing w:val="-6"/>
          <w:sz w:val="30"/>
          <w:szCs w:val="30"/>
        </w:rPr>
        <w:t>国有建设用地使用权</w:t>
      </w:r>
      <w:r>
        <w:rPr>
          <w:rFonts w:hint="eastAsia" w:ascii="仿宋_GB2312" w:hAnsi="仿宋_GB2312" w:eastAsia="仿宋_GB2312" w:cs="仿宋_GB2312"/>
          <w:spacing w:val="-6"/>
          <w:sz w:val="30"/>
          <w:szCs w:val="30"/>
          <w:lang w:eastAsia="zh-CN"/>
        </w:rPr>
        <w:t>挂牌</w:t>
      </w:r>
      <w:r>
        <w:rPr>
          <w:rFonts w:hint="eastAsia" w:ascii="仿宋_GB2312" w:hAnsi="仿宋_GB2312" w:eastAsia="仿宋_GB2312" w:cs="仿宋_GB2312"/>
          <w:spacing w:val="-7"/>
          <w:sz w:val="30"/>
          <w:szCs w:val="30"/>
        </w:rPr>
        <w:t>出让活动中</w:t>
      </w:r>
      <w:r>
        <w:rPr>
          <w:rFonts w:hint="eastAsia" w:ascii="仿宋_GB2312" w:hAnsi="仿宋_GB2312" w:eastAsia="仿宋_GB2312" w:cs="仿宋_GB2312"/>
          <w:spacing w:val="-7"/>
          <w:sz w:val="30"/>
          <w:szCs w:val="30"/>
          <w:lang w:eastAsia="zh-CN"/>
        </w:rPr>
        <w:t>，</w:t>
      </w:r>
      <w:r>
        <w:rPr>
          <w:rFonts w:hint="eastAsia" w:ascii="仿宋_GB2312" w:hAnsi="仿宋_GB2312" w:eastAsia="仿宋_GB2312" w:cs="仿宋_GB2312"/>
          <w:spacing w:val="10"/>
          <w:sz w:val="30"/>
          <w:szCs w:val="30"/>
          <w:u w:val="single"/>
          <w:lang w:val="en-US" w:eastAsia="zh-CN"/>
        </w:rPr>
        <w:t xml:space="preserve">（竞得人名称）   </w:t>
      </w:r>
      <w:r>
        <w:rPr>
          <w:rFonts w:hint="eastAsia" w:ascii="仿宋_GB2312" w:hAnsi="仿宋_GB2312" w:eastAsia="仿宋_GB2312" w:cs="仿宋_GB2312"/>
          <w:spacing w:val="1"/>
          <w:sz w:val="30"/>
          <w:szCs w:val="30"/>
        </w:rPr>
        <w:t>竞得</w:t>
      </w:r>
      <w:r>
        <w:rPr>
          <w:rFonts w:hint="eastAsia" w:ascii="仿宋_GB2312" w:hAnsi="仿宋_GB2312" w:eastAsia="仿宋_GB2312" w:cs="仿宋_GB2312"/>
          <w:spacing w:val="1"/>
          <w:sz w:val="30"/>
          <w:szCs w:val="30"/>
          <w:lang w:val="en-US" w:eastAsia="zh-CN"/>
        </w:rPr>
        <w:t>YJ20</w:t>
      </w:r>
      <w:r>
        <w:rPr>
          <w:rFonts w:hint="eastAsia" w:ascii="仿宋_GB2312" w:hAnsi="仿宋_GB2312" w:eastAsia="仿宋_GB2312" w:cs="仿宋_GB2312"/>
          <w:spacing w:val="1"/>
          <w:sz w:val="30"/>
          <w:szCs w:val="30"/>
          <w:u w:val="single" w:color="auto"/>
          <w:lang w:val="en-US" w:eastAsia="zh-CN"/>
        </w:rPr>
        <w:t xml:space="preserve">  </w:t>
      </w:r>
      <w:r>
        <w:rPr>
          <w:rFonts w:hint="eastAsia" w:ascii="仿宋_GB2312" w:hAnsi="仿宋_GB2312" w:eastAsia="仿宋_GB2312" w:cs="仿宋_GB2312"/>
          <w:spacing w:val="1"/>
          <w:sz w:val="30"/>
          <w:szCs w:val="30"/>
          <w:u w:val="none" w:color="auto"/>
          <w:lang w:val="en-US" w:eastAsia="zh-CN"/>
        </w:rPr>
        <w:t>-</w:t>
      </w:r>
      <w:r>
        <w:rPr>
          <w:rFonts w:hint="eastAsia" w:ascii="仿宋_GB2312" w:hAnsi="仿宋_GB2312" w:eastAsia="仿宋_GB2312" w:cs="仿宋_GB2312"/>
          <w:spacing w:val="1"/>
          <w:sz w:val="30"/>
          <w:szCs w:val="30"/>
          <w:u w:val="single" w:color="auto"/>
          <w:lang w:val="en-US" w:eastAsia="zh-CN"/>
        </w:rPr>
        <w:t xml:space="preserve">  </w:t>
      </w:r>
      <w:r>
        <w:rPr>
          <w:rFonts w:hint="eastAsia" w:ascii="仿宋_GB2312" w:hAnsi="仿宋_GB2312" w:eastAsia="仿宋_GB2312" w:cs="仿宋_GB2312"/>
          <w:sz w:val="30"/>
          <w:szCs w:val="30"/>
          <w:lang w:val="en-US" w:eastAsia="zh-CN"/>
        </w:rPr>
        <w:t>号</w:t>
      </w:r>
      <w:r>
        <w:rPr>
          <w:rFonts w:hint="eastAsia" w:ascii="仿宋_GB2312" w:hAnsi="仿宋_GB2312" w:eastAsia="仿宋_GB2312" w:cs="仿宋_GB2312"/>
          <w:sz w:val="30"/>
          <w:szCs w:val="30"/>
        </w:rPr>
        <w:t>宗地的国</w:t>
      </w:r>
      <w:r>
        <w:rPr>
          <w:rFonts w:hint="eastAsia" w:ascii="仿宋_GB2312" w:hAnsi="仿宋_GB2312" w:eastAsia="仿宋_GB2312" w:cs="仿宋_GB2312"/>
          <w:spacing w:val="1"/>
          <w:sz w:val="30"/>
          <w:szCs w:val="30"/>
        </w:rPr>
        <w:t>有建设用地使用权。</w:t>
      </w:r>
    </w:p>
    <w:p>
      <w:pPr>
        <w:pStyle w:val="4"/>
        <w:keepNext w:val="0"/>
        <w:keepLines w:val="0"/>
        <w:pageBreakBefore w:val="0"/>
        <w:widowControl/>
        <w:kinsoku w:val="0"/>
        <w:wordWrap/>
        <w:overflowPunct/>
        <w:topLinePunct w:val="0"/>
        <w:autoSpaceDE w:val="0"/>
        <w:autoSpaceDN w:val="0"/>
        <w:bidi w:val="0"/>
        <w:adjustRightInd w:val="0"/>
        <w:snapToGrid w:val="0"/>
        <w:spacing w:line="500" w:lineRule="exact"/>
        <w:ind w:right="0" w:firstLine="592" w:firstLineChars="200"/>
        <w:jc w:val="both"/>
        <w:textAlignment w:val="baseline"/>
        <w:rPr>
          <w:rFonts w:hint="eastAsia" w:ascii="仿宋_GB2312" w:hAnsi="仿宋_GB2312" w:eastAsia="仿宋_GB2312" w:cs="仿宋_GB2312"/>
          <w:spacing w:val="-3"/>
          <w:sz w:val="30"/>
          <w:szCs w:val="30"/>
          <w:lang w:eastAsia="zh-CN"/>
        </w:rPr>
      </w:pPr>
      <w:r>
        <w:rPr>
          <w:rFonts w:hint="eastAsia" w:ascii="仿宋_GB2312" w:hAnsi="仿宋_GB2312" w:eastAsia="仿宋_GB2312" w:cs="仿宋_GB2312"/>
          <w:spacing w:val="-2"/>
          <w:sz w:val="30"/>
          <w:szCs w:val="30"/>
        </w:rPr>
        <w:t>该宗地位于</w:t>
      </w:r>
      <w:r>
        <w:rPr>
          <w:rFonts w:hint="eastAsia" w:ascii="仿宋_GB2312" w:hAnsi="仿宋_GB2312" w:eastAsia="仿宋_GB2312" w:cs="仿宋_GB2312"/>
          <w:spacing w:val="-2"/>
          <w:sz w:val="30"/>
          <w:szCs w:val="30"/>
          <w:u w:val="single" w:color="auto"/>
          <w:lang w:val="en-US" w:eastAsia="zh-CN"/>
        </w:rPr>
        <w:t xml:space="preserve">(土地坐落)     </w:t>
      </w:r>
      <w:r>
        <w:rPr>
          <w:rFonts w:hint="eastAsia" w:ascii="仿宋_GB2312" w:hAnsi="仿宋_GB2312" w:eastAsia="仿宋_GB2312" w:cs="仿宋_GB2312"/>
          <w:spacing w:val="-2"/>
          <w:sz w:val="30"/>
          <w:szCs w:val="30"/>
          <w:u w:val="none" w:color="auto"/>
        </w:rPr>
        <w:t>，</w:t>
      </w:r>
      <w:r>
        <w:rPr>
          <w:rFonts w:hint="eastAsia" w:ascii="仿宋_GB2312" w:hAnsi="仿宋_GB2312" w:eastAsia="仿宋_GB2312" w:cs="仿宋_GB2312"/>
          <w:spacing w:val="-2"/>
          <w:sz w:val="30"/>
          <w:szCs w:val="30"/>
        </w:rPr>
        <w:t>面积</w:t>
      </w:r>
      <w:r>
        <w:rPr>
          <w:rFonts w:hint="eastAsia" w:ascii="仿宋_GB2312" w:hAnsi="仿宋_GB2312" w:eastAsia="仿宋_GB2312" w:cs="仿宋_GB2312"/>
          <w:spacing w:val="-2"/>
          <w:sz w:val="30"/>
          <w:szCs w:val="30"/>
          <w:u w:val="single"/>
          <w:lang w:val="en-US" w:eastAsia="zh-CN"/>
        </w:rPr>
        <w:t xml:space="preserve">    </w:t>
      </w:r>
      <w:r>
        <w:rPr>
          <w:rFonts w:hint="eastAsia" w:ascii="仿宋_GB2312" w:hAnsi="仿宋_GB2312" w:eastAsia="仿宋_GB2312" w:cs="仿宋_GB2312"/>
          <w:spacing w:val="3"/>
          <w:sz w:val="30"/>
          <w:szCs w:val="30"/>
        </w:rPr>
        <w:t>平方米(</w:t>
      </w:r>
      <w:r>
        <w:rPr>
          <w:rFonts w:hint="eastAsia" w:ascii="仿宋_GB2312" w:hAnsi="仿宋_GB2312" w:eastAsia="仿宋_GB2312" w:cs="仿宋_GB2312"/>
          <w:spacing w:val="3"/>
          <w:sz w:val="30"/>
          <w:szCs w:val="30"/>
          <w:lang w:eastAsia="zh-CN"/>
        </w:rPr>
        <w:t>约</w:t>
      </w:r>
      <w:r>
        <w:rPr>
          <w:rFonts w:hint="eastAsia" w:ascii="仿宋_GB2312" w:hAnsi="仿宋_GB2312" w:eastAsia="仿宋_GB2312" w:cs="仿宋_GB2312"/>
          <w:spacing w:val="3"/>
          <w:sz w:val="30"/>
          <w:szCs w:val="30"/>
        </w:rPr>
        <w:t>合</w:t>
      </w:r>
      <w:r>
        <w:rPr>
          <w:rFonts w:hint="eastAsia" w:ascii="仿宋_GB2312" w:hAnsi="仿宋_GB2312" w:eastAsia="仿宋_GB2312" w:cs="仿宋_GB2312"/>
          <w:spacing w:val="3"/>
          <w:sz w:val="30"/>
          <w:szCs w:val="30"/>
          <w:u w:val="single"/>
          <w:lang w:val="en-US" w:eastAsia="zh-CN"/>
        </w:rPr>
        <w:t xml:space="preserve">  </w:t>
      </w:r>
      <w:r>
        <w:rPr>
          <w:rFonts w:hint="eastAsia" w:ascii="仿宋_GB2312" w:hAnsi="仿宋_GB2312" w:eastAsia="仿宋_GB2312" w:cs="仿宋_GB2312"/>
          <w:spacing w:val="3"/>
          <w:sz w:val="30"/>
          <w:szCs w:val="30"/>
        </w:rPr>
        <w:t>亩),成交单价人民币每亩</w:t>
      </w:r>
      <w:r>
        <w:rPr>
          <w:rFonts w:hint="eastAsia" w:ascii="仿宋_GB2312" w:hAnsi="仿宋_GB2312" w:eastAsia="仿宋_GB2312" w:cs="仿宋_GB2312"/>
          <w:spacing w:val="3"/>
          <w:sz w:val="30"/>
          <w:szCs w:val="30"/>
          <w:u w:val="single" w:color="auto"/>
          <w:lang w:val="en-US" w:eastAsia="zh-CN"/>
        </w:rPr>
        <w:t xml:space="preserve">     </w:t>
      </w:r>
      <w:r>
        <w:rPr>
          <w:rFonts w:hint="eastAsia" w:ascii="仿宋_GB2312" w:hAnsi="仿宋_GB2312" w:eastAsia="仿宋_GB2312" w:cs="仿宋_GB2312"/>
          <w:spacing w:val="3"/>
          <w:sz w:val="30"/>
          <w:szCs w:val="30"/>
        </w:rPr>
        <w:t>万元整</w:t>
      </w:r>
      <w:r>
        <w:rPr>
          <w:rFonts w:hint="eastAsia" w:ascii="仿宋_GB2312" w:hAnsi="仿宋_GB2312" w:eastAsia="仿宋_GB2312" w:cs="仿宋_GB2312"/>
          <w:spacing w:val="-3"/>
          <w:sz w:val="30"/>
          <w:szCs w:val="30"/>
        </w:rPr>
        <w:t>(</w:t>
      </w:r>
      <w:r>
        <w:rPr>
          <w:rFonts w:hint="eastAsia" w:ascii="仿宋_GB2312" w:hAnsi="仿宋_GB2312" w:eastAsia="仿宋_GB2312" w:cs="仿宋_GB2312"/>
          <w:spacing w:val="-50"/>
          <w:sz w:val="30"/>
          <w:szCs w:val="30"/>
        </w:rPr>
        <w:t xml:space="preserve"> </w:t>
      </w:r>
      <w:r>
        <w:rPr>
          <w:rFonts w:hint="eastAsia" w:ascii="仿宋_GB2312" w:hAnsi="仿宋_GB2312" w:eastAsia="仿宋_GB2312" w:cs="仿宋_GB2312"/>
          <w:spacing w:val="-3"/>
          <w:sz w:val="30"/>
          <w:szCs w:val="30"/>
        </w:rPr>
        <w:t>大写)</w:t>
      </w:r>
      <w:r>
        <w:rPr>
          <w:rFonts w:hint="eastAsia" w:ascii="仿宋_GB2312" w:hAnsi="仿宋_GB2312" w:eastAsia="仿宋_GB2312" w:cs="仿宋_GB2312"/>
          <w:spacing w:val="3"/>
          <w:sz w:val="30"/>
          <w:szCs w:val="30"/>
        </w:rPr>
        <w:t>(¥</w:t>
      </w:r>
      <w:r>
        <w:rPr>
          <w:rFonts w:hint="eastAsia" w:ascii="仿宋_GB2312" w:hAnsi="仿宋_GB2312" w:eastAsia="仿宋_GB2312" w:cs="仿宋_GB2312"/>
          <w:spacing w:val="3"/>
          <w:sz w:val="30"/>
          <w:szCs w:val="30"/>
          <w:u w:val="single" w:color="auto"/>
          <w:lang w:val="en-US" w:eastAsia="zh-CN"/>
        </w:rPr>
        <w:t xml:space="preserve">     </w:t>
      </w:r>
      <w:r>
        <w:rPr>
          <w:rFonts w:hint="eastAsia" w:ascii="仿宋_GB2312" w:hAnsi="仿宋_GB2312" w:eastAsia="仿宋_GB2312" w:cs="仿宋_GB2312"/>
          <w:spacing w:val="6"/>
          <w:sz w:val="30"/>
          <w:szCs w:val="30"/>
        </w:rPr>
        <w:t>万元/亩),成交总价款为人民币</w:t>
      </w:r>
      <w:r>
        <w:rPr>
          <w:rFonts w:hint="eastAsia" w:ascii="仿宋_GB2312" w:hAnsi="仿宋_GB2312" w:eastAsia="仿宋_GB2312" w:cs="仿宋_GB2312"/>
          <w:spacing w:val="3"/>
          <w:sz w:val="30"/>
          <w:szCs w:val="30"/>
          <w:u w:val="single" w:color="auto"/>
          <w:lang w:val="en-US" w:eastAsia="zh-CN"/>
        </w:rPr>
        <w:t xml:space="preserve">     </w:t>
      </w:r>
      <w:r>
        <w:rPr>
          <w:rFonts w:hint="eastAsia" w:ascii="仿宋_GB2312" w:hAnsi="仿宋_GB2312" w:eastAsia="仿宋_GB2312" w:cs="仿宋_GB2312"/>
          <w:spacing w:val="-3"/>
          <w:sz w:val="30"/>
          <w:szCs w:val="30"/>
        </w:rPr>
        <w:t>元整(</w:t>
      </w:r>
      <w:r>
        <w:rPr>
          <w:rFonts w:hint="eastAsia" w:ascii="仿宋_GB2312" w:hAnsi="仿宋_GB2312" w:eastAsia="仿宋_GB2312" w:cs="仿宋_GB2312"/>
          <w:spacing w:val="-50"/>
          <w:sz w:val="30"/>
          <w:szCs w:val="30"/>
        </w:rPr>
        <w:t xml:space="preserve"> </w:t>
      </w:r>
      <w:r>
        <w:rPr>
          <w:rFonts w:hint="eastAsia" w:ascii="仿宋_GB2312" w:hAnsi="仿宋_GB2312" w:eastAsia="仿宋_GB2312" w:cs="仿宋_GB2312"/>
          <w:spacing w:val="-3"/>
          <w:sz w:val="30"/>
          <w:szCs w:val="30"/>
        </w:rPr>
        <w:t xml:space="preserve">大写) </w:t>
      </w:r>
      <w:r>
        <w:rPr>
          <w:rFonts w:hint="eastAsia" w:ascii="仿宋_GB2312" w:hAnsi="仿宋_GB2312" w:eastAsia="仿宋_GB2312" w:cs="仿宋_GB2312"/>
          <w:spacing w:val="-1"/>
          <w:sz w:val="30"/>
          <w:szCs w:val="30"/>
        </w:rPr>
        <w:t>(¥</w:t>
      </w:r>
      <w:r>
        <w:rPr>
          <w:rFonts w:hint="eastAsia" w:ascii="仿宋_GB2312" w:hAnsi="仿宋_GB2312" w:eastAsia="仿宋_GB2312" w:cs="仿宋_GB2312"/>
          <w:spacing w:val="-112"/>
          <w:sz w:val="30"/>
          <w:szCs w:val="30"/>
        </w:rPr>
        <w:t xml:space="preserve"> </w:t>
      </w:r>
      <w:r>
        <w:rPr>
          <w:rFonts w:hint="eastAsia" w:ascii="仿宋_GB2312" w:hAnsi="仿宋_GB2312" w:eastAsia="仿宋_GB2312" w:cs="仿宋_GB2312"/>
          <w:spacing w:val="3"/>
          <w:sz w:val="30"/>
          <w:szCs w:val="30"/>
          <w:u w:val="single" w:color="auto"/>
          <w:lang w:val="en-US" w:eastAsia="zh-CN"/>
        </w:rPr>
        <w:t xml:space="preserve">     </w:t>
      </w:r>
      <w:r>
        <w:rPr>
          <w:rFonts w:hint="eastAsia" w:ascii="仿宋_GB2312" w:hAnsi="仿宋_GB2312" w:eastAsia="仿宋_GB2312" w:cs="仿宋_GB2312"/>
          <w:spacing w:val="3"/>
          <w:sz w:val="30"/>
          <w:szCs w:val="30"/>
          <w:u w:val="none" w:color="auto"/>
          <w:lang w:val="en-US" w:eastAsia="zh-CN"/>
        </w:rPr>
        <w:t>元</w:t>
      </w:r>
      <w:r>
        <w:rPr>
          <w:rFonts w:hint="eastAsia" w:ascii="仿宋_GB2312" w:hAnsi="仿宋_GB2312" w:eastAsia="仿宋_GB2312" w:cs="仿宋_GB2312"/>
          <w:spacing w:val="-4"/>
          <w:sz w:val="30"/>
          <w:szCs w:val="30"/>
        </w:rPr>
        <w:t>)。成交总价款20%的部分为该宗地的</w:t>
      </w:r>
      <w:r>
        <w:rPr>
          <w:rFonts w:hint="eastAsia" w:ascii="仿宋_GB2312" w:hAnsi="仿宋_GB2312" w:eastAsia="仿宋_GB2312" w:cs="仿宋_GB2312"/>
          <w:spacing w:val="-1"/>
          <w:sz w:val="30"/>
          <w:szCs w:val="30"/>
        </w:rPr>
        <w:t>定金，竞得人交纳的竞买保证金相当于成交价款</w:t>
      </w:r>
      <w:r>
        <w:rPr>
          <w:rFonts w:hint="eastAsia" w:ascii="仿宋_GB2312" w:hAnsi="仿宋_GB2312" w:eastAsia="仿宋_GB2312" w:cs="仿宋_GB2312"/>
          <w:spacing w:val="-1"/>
          <w:sz w:val="30"/>
          <w:szCs w:val="30"/>
          <w:lang w:val="en-US" w:eastAsia="zh-CN"/>
        </w:rPr>
        <w:t>2</w:t>
      </w:r>
      <w:r>
        <w:rPr>
          <w:rFonts w:hint="eastAsia" w:ascii="仿宋_GB2312" w:hAnsi="仿宋_GB2312" w:eastAsia="仿宋_GB2312" w:cs="仿宋_GB2312"/>
          <w:spacing w:val="-1"/>
          <w:sz w:val="30"/>
          <w:szCs w:val="30"/>
        </w:rPr>
        <w:t>0%的部分</w:t>
      </w:r>
      <w:r>
        <w:rPr>
          <w:rFonts w:hint="eastAsia" w:ascii="仿宋_GB2312" w:hAnsi="仿宋_GB2312" w:eastAsia="仿宋_GB2312" w:cs="仿宋_GB2312"/>
          <w:spacing w:val="-1"/>
          <w:sz w:val="30"/>
          <w:szCs w:val="30"/>
          <w:lang w:eastAsia="zh-CN"/>
        </w:rPr>
        <w:t>，</w:t>
      </w:r>
      <w:r>
        <w:rPr>
          <w:rFonts w:hint="eastAsia" w:ascii="仿宋_GB2312" w:hAnsi="仿宋_GB2312" w:eastAsia="仿宋_GB2312" w:cs="仿宋_GB2312"/>
          <w:spacing w:val="-1"/>
          <w:sz w:val="30"/>
          <w:szCs w:val="30"/>
        </w:rPr>
        <w:t>自动转</w:t>
      </w:r>
      <w:r>
        <w:rPr>
          <w:rFonts w:hint="eastAsia" w:ascii="仿宋_GB2312" w:hAnsi="仿宋_GB2312" w:eastAsia="仿宋_GB2312" w:cs="仿宋_GB2312"/>
          <w:spacing w:val="-3"/>
          <w:sz w:val="30"/>
          <w:szCs w:val="30"/>
        </w:rPr>
        <w:t>作受让宗地的定金，其他转作该宗地出让价款</w:t>
      </w:r>
      <w:r>
        <w:rPr>
          <w:rFonts w:hint="eastAsia" w:ascii="仿宋_GB2312" w:hAnsi="仿宋_GB2312" w:eastAsia="仿宋_GB2312" w:cs="仿宋_GB2312"/>
          <w:spacing w:val="-3"/>
          <w:sz w:val="30"/>
          <w:szCs w:val="30"/>
          <w:lang w:eastAsia="zh-CN"/>
        </w:rPr>
        <w:t>。</w:t>
      </w:r>
    </w:p>
    <w:p>
      <w:pPr>
        <w:pStyle w:val="4"/>
        <w:keepNext w:val="0"/>
        <w:keepLines w:val="0"/>
        <w:pageBreakBefore w:val="0"/>
        <w:widowControl/>
        <w:kinsoku w:val="0"/>
        <w:wordWrap/>
        <w:overflowPunct/>
        <w:topLinePunct w:val="0"/>
        <w:autoSpaceDE w:val="0"/>
        <w:autoSpaceDN w:val="0"/>
        <w:bidi w:val="0"/>
        <w:adjustRightInd w:val="0"/>
        <w:snapToGrid w:val="0"/>
        <w:spacing w:line="500" w:lineRule="exact"/>
        <w:ind w:right="0" w:firstLine="600" w:firstLineChars="200"/>
        <w:jc w:val="both"/>
        <w:textAlignment w:val="baseline"/>
        <w:rPr>
          <w:rFonts w:hint="eastAsia" w:ascii="仿宋_GB2312" w:hAnsi="仿宋_GB2312" w:eastAsia="仿宋_GB2312" w:cs="仿宋_GB2312"/>
          <w:snapToGrid w:val="0"/>
          <w:color w:val="000000"/>
          <w:kern w:val="0"/>
          <w:sz w:val="30"/>
          <w:szCs w:val="30"/>
          <w:highlight w:val="none"/>
          <w:lang w:val="en-US" w:eastAsia="zh-CN" w:bidi="ar-SA"/>
        </w:rPr>
      </w:pPr>
      <w:r>
        <w:rPr>
          <w:rFonts w:hint="eastAsia" w:ascii="仿宋_GB2312" w:hAnsi="仿宋_GB2312" w:eastAsia="仿宋_GB2312" w:cs="仿宋_GB2312"/>
          <w:snapToGrid w:val="0"/>
          <w:color w:val="000000"/>
          <w:kern w:val="0"/>
          <w:sz w:val="30"/>
          <w:szCs w:val="30"/>
          <w:highlight w:val="none"/>
          <w:lang w:val="en-US" w:eastAsia="en-US" w:bidi="ar-SA"/>
        </w:rPr>
        <w:t>本次成交结果经中国土地市场网公示后，由</w:t>
      </w:r>
      <w:r>
        <w:rPr>
          <w:rFonts w:hint="eastAsia" w:ascii="仿宋_GB2312" w:hAnsi="仿宋_GB2312" w:eastAsia="仿宋_GB2312" w:cs="仿宋_GB2312"/>
          <w:snapToGrid w:val="0"/>
          <w:color w:val="000000"/>
          <w:kern w:val="0"/>
          <w:sz w:val="30"/>
          <w:szCs w:val="30"/>
          <w:highlight w:val="none"/>
          <w:lang w:val="en-US" w:eastAsia="zh-CN" w:bidi="ar-SA"/>
        </w:rPr>
        <w:t>延津县</w:t>
      </w:r>
      <w:r>
        <w:rPr>
          <w:rFonts w:hint="eastAsia" w:ascii="仿宋_GB2312" w:hAnsi="仿宋_GB2312" w:eastAsia="仿宋_GB2312" w:cs="仿宋_GB2312"/>
          <w:snapToGrid w:val="0"/>
          <w:color w:val="000000"/>
          <w:kern w:val="0"/>
          <w:sz w:val="30"/>
          <w:szCs w:val="30"/>
          <w:highlight w:val="none"/>
          <w:lang w:val="en-US" w:eastAsia="en-US" w:bidi="ar-SA"/>
        </w:rPr>
        <w:t>自然资源</w:t>
      </w:r>
      <w:r>
        <w:rPr>
          <w:rFonts w:hint="eastAsia" w:ascii="仿宋_GB2312" w:hAnsi="仿宋_GB2312" w:eastAsia="仿宋_GB2312" w:cs="仿宋_GB2312"/>
          <w:snapToGrid w:val="0"/>
          <w:color w:val="000000"/>
          <w:kern w:val="0"/>
          <w:sz w:val="30"/>
          <w:szCs w:val="30"/>
          <w:highlight w:val="none"/>
          <w:lang w:val="en-US" w:eastAsia="zh-CN" w:bidi="ar-SA"/>
        </w:rPr>
        <w:t>局开发利用股</w:t>
      </w:r>
      <w:r>
        <w:rPr>
          <w:rFonts w:hint="eastAsia" w:ascii="仿宋_GB2312" w:hAnsi="仿宋_GB2312" w:eastAsia="仿宋_GB2312" w:cs="仿宋_GB2312"/>
          <w:snapToGrid w:val="0"/>
          <w:color w:val="000000"/>
          <w:kern w:val="0"/>
          <w:sz w:val="30"/>
          <w:szCs w:val="30"/>
          <w:highlight w:val="none"/>
          <w:lang w:val="en-US" w:eastAsia="en-US" w:bidi="ar-SA"/>
        </w:rPr>
        <w:t>通知竞得人领取</w:t>
      </w:r>
      <w:r>
        <w:rPr>
          <w:rFonts w:hint="eastAsia" w:ascii="仿宋_GB2312" w:hAnsi="仿宋_GB2312" w:eastAsia="仿宋_GB2312" w:cs="仿宋_GB2312"/>
          <w:snapToGrid w:val="0"/>
          <w:color w:val="000000"/>
          <w:spacing w:val="-6"/>
          <w:kern w:val="0"/>
          <w:sz w:val="30"/>
          <w:szCs w:val="30"/>
          <w:highlight w:val="none"/>
          <w:lang w:val="en-US" w:eastAsia="en-US" w:bidi="ar-SA"/>
        </w:rPr>
        <w:t>《签订国有建设用地使用权出让合同通知书</w:t>
      </w:r>
      <w:r>
        <w:rPr>
          <w:rFonts w:hint="eastAsia" w:ascii="仿宋_GB2312" w:hAnsi="仿宋_GB2312" w:eastAsia="仿宋_GB2312" w:cs="仿宋_GB2312"/>
          <w:snapToGrid w:val="0"/>
          <w:color w:val="000000"/>
          <w:spacing w:val="-6"/>
          <w:kern w:val="0"/>
          <w:sz w:val="30"/>
          <w:szCs w:val="30"/>
          <w:highlight w:val="none"/>
          <w:lang w:val="en-US" w:eastAsia="zh-CN" w:bidi="ar-SA"/>
        </w:rPr>
        <w:t>》</w:t>
      </w:r>
      <w:r>
        <w:rPr>
          <w:rFonts w:hint="eastAsia" w:ascii="仿宋_GB2312" w:hAnsi="仿宋_GB2312" w:eastAsia="仿宋_GB2312" w:cs="仿宋_GB2312"/>
          <w:snapToGrid w:val="0"/>
          <w:color w:val="000000"/>
          <w:kern w:val="0"/>
          <w:sz w:val="30"/>
          <w:szCs w:val="30"/>
          <w:highlight w:val="none"/>
          <w:lang w:val="en-US" w:eastAsia="zh-CN" w:bidi="ar-SA"/>
        </w:rPr>
        <w:t>，</w:t>
      </w:r>
      <w:r>
        <w:rPr>
          <w:rFonts w:hint="eastAsia" w:ascii="仿宋_GB2312" w:hAnsi="仿宋_GB2312" w:eastAsia="仿宋_GB2312" w:cs="仿宋_GB2312"/>
          <w:snapToGrid w:val="0"/>
          <w:color w:val="000000"/>
          <w:kern w:val="0"/>
          <w:sz w:val="30"/>
          <w:szCs w:val="30"/>
          <w:highlight w:val="none"/>
          <w:lang w:val="en-US" w:eastAsia="en-US" w:bidi="ar-SA"/>
        </w:rPr>
        <w:t>竞得人须在《签订国有建设用地使用权出让合同通知书》规定的时间内持本《成交确认书》及其他相关材料到</w:t>
      </w:r>
      <w:r>
        <w:rPr>
          <w:rFonts w:hint="eastAsia" w:ascii="仿宋_GB2312" w:hAnsi="仿宋_GB2312" w:eastAsia="仿宋_GB2312" w:cs="仿宋_GB2312"/>
          <w:snapToGrid w:val="0"/>
          <w:color w:val="000000"/>
          <w:kern w:val="0"/>
          <w:sz w:val="30"/>
          <w:szCs w:val="30"/>
          <w:highlight w:val="none"/>
          <w:lang w:val="en-US" w:eastAsia="zh-CN" w:bidi="ar-SA"/>
        </w:rPr>
        <w:t>延津县</w:t>
      </w:r>
      <w:r>
        <w:rPr>
          <w:rFonts w:hint="eastAsia" w:ascii="仿宋_GB2312" w:hAnsi="仿宋_GB2312" w:eastAsia="仿宋_GB2312" w:cs="仿宋_GB2312"/>
          <w:snapToGrid w:val="0"/>
          <w:color w:val="000000"/>
          <w:kern w:val="0"/>
          <w:sz w:val="30"/>
          <w:szCs w:val="30"/>
          <w:highlight w:val="none"/>
          <w:lang w:val="en-US" w:eastAsia="en-US" w:bidi="ar-SA"/>
        </w:rPr>
        <w:t>自然资源局</w:t>
      </w:r>
      <w:r>
        <w:rPr>
          <w:rFonts w:hint="eastAsia" w:ascii="仿宋_GB2312" w:hAnsi="仿宋_GB2312" w:eastAsia="仿宋_GB2312" w:cs="仿宋_GB2312"/>
          <w:snapToGrid w:val="0"/>
          <w:color w:val="000000"/>
          <w:kern w:val="0"/>
          <w:sz w:val="30"/>
          <w:szCs w:val="30"/>
          <w:highlight w:val="none"/>
          <w:lang w:val="en-US" w:eastAsia="zh-CN" w:bidi="ar-SA"/>
        </w:rPr>
        <w:t>开发利用股</w:t>
      </w:r>
      <w:r>
        <w:rPr>
          <w:rFonts w:hint="eastAsia" w:ascii="仿宋_GB2312" w:hAnsi="仿宋_GB2312" w:eastAsia="仿宋_GB2312" w:cs="仿宋_GB2312"/>
          <w:snapToGrid w:val="0"/>
          <w:color w:val="000000"/>
          <w:kern w:val="0"/>
          <w:sz w:val="30"/>
          <w:szCs w:val="30"/>
          <w:highlight w:val="none"/>
          <w:lang w:val="en-US" w:eastAsia="en-US" w:bidi="ar-SA"/>
        </w:rPr>
        <w:t>签订《国有建设用地使用权出让合同</w:t>
      </w:r>
      <w:r>
        <w:rPr>
          <w:rFonts w:hint="eastAsia" w:ascii="仿宋_GB2312" w:hAnsi="仿宋_GB2312" w:eastAsia="仿宋_GB2312" w:cs="仿宋_GB2312"/>
          <w:snapToGrid w:val="0"/>
          <w:color w:val="000000"/>
          <w:kern w:val="0"/>
          <w:sz w:val="30"/>
          <w:szCs w:val="30"/>
          <w:highlight w:val="none"/>
          <w:lang w:val="en-US" w:eastAsia="zh-CN" w:bidi="ar-SA"/>
        </w:rPr>
        <w:t>》。</w:t>
      </w:r>
      <w:r>
        <w:rPr>
          <w:rFonts w:hint="eastAsia" w:ascii="仿宋_GB2312" w:hAnsi="仿宋_GB2312" w:eastAsia="仿宋_GB2312" w:cs="仿宋_GB2312"/>
          <w:snapToGrid w:val="0"/>
          <w:color w:val="000000"/>
          <w:kern w:val="0"/>
          <w:sz w:val="30"/>
          <w:szCs w:val="30"/>
          <w:highlight w:val="none"/>
          <w:lang w:val="en-US" w:eastAsia="en-US" w:bidi="ar-SA"/>
        </w:rPr>
        <w:t>不按期签订</w:t>
      </w:r>
      <w:r>
        <w:rPr>
          <w:rFonts w:hint="eastAsia" w:ascii="仿宋_GB2312" w:hAnsi="仿宋_GB2312" w:eastAsia="仿宋_GB2312" w:cs="仿宋_GB2312"/>
          <w:snapToGrid w:val="0"/>
          <w:color w:val="000000"/>
          <w:kern w:val="0"/>
          <w:sz w:val="30"/>
          <w:szCs w:val="30"/>
          <w:highlight w:val="none"/>
          <w:lang w:val="en-US" w:eastAsia="zh-CN" w:bidi="ar-SA"/>
        </w:rPr>
        <w:t>《</w:t>
      </w:r>
      <w:r>
        <w:rPr>
          <w:rFonts w:hint="eastAsia" w:ascii="仿宋_GB2312" w:hAnsi="仿宋_GB2312" w:eastAsia="仿宋_GB2312" w:cs="仿宋_GB2312"/>
          <w:snapToGrid w:val="0"/>
          <w:color w:val="000000"/>
          <w:kern w:val="0"/>
          <w:sz w:val="30"/>
          <w:szCs w:val="30"/>
          <w:highlight w:val="none"/>
          <w:lang w:val="en-US" w:eastAsia="en-US" w:bidi="ar-SA"/>
        </w:rPr>
        <w:t>国有建设用地使用权出让合同</w:t>
      </w:r>
      <w:r>
        <w:rPr>
          <w:rFonts w:hint="eastAsia" w:ascii="仿宋_GB2312" w:hAnsi="仿宋_GB2312" w:eastAsia="仿宋_GB2312" w:cs="仿宋_GB2312"/>
          <w:snapToGrid w:val="0"/>
          <w:color w:val="000000"/>
          <w:kern w:val="0"/>
          <w:sz w:val="30"/>
          <w:szCs w:val="30"/>
          <w:highlight w:val="none"/>
          <w:lang w:val="en-US" w:eastAsia="zh-CN" w:bidi="ar-SA"/>
        </w:rPr>
        <w:t>》</w:t>
      </w:r>
      <w:r>
        <w:rPr>
          <w:rFonts w:hint="eastAsia" w:ascii="仿宋_GB2312" w:hAnsi="仿宋_GB2312" w:eastAsia="仿宋_GB2312" w:cs="仿宋_GB2312"/>
          <w:snapToGrid w:val="0"/>
          <w:color w:val="000000"/>
          <w:kern w:val="0"/>
          <w:sz w:val="30"/>
          <w:szCs w:val="30"/>
          <w:highlight w:val="none"/>
          <w:lang w:val="en-US" w:eastAsia="en-US" w:bidi="ar-SA"/>
        </w:rPr>
        <w:t>的，视为竞得人放弃竞得资格，</w:t>
      </w:r>
      <w:r>
        <w:rPr>
          <w:rFonts w:hint="eastAsia" w:ascii="仿宋_GB2312" w:hAnsi="仿宋_GB2312" w:eastAsia="仿宋_GB2312" w:cs="仿宋_GB2312"/>
          <w:snapToGrid w:val="0"/>
          <w:color w:val="000000"/>
          <w:kern w:val="0"/>
          <w:sz w:val="30"/>
          <w:szCs w:val="30"/>
          <w:highlight w:val="none"/>
          <w:lang w:val="en-US" w:eastAsia="zh-CN" w:bidi="ar-SA"/>
        </w:rPr>
        <w:t>保证金不予退还，并</w:t>
      </w:r>
      <w:r>
        <w:rPr>
          <w:rFonts w:hint="eastAsia" w:ascii="仿宋_GB2312" w:hAnsi="仿宋_GB2312" w:eastAsia="仿宋_GB2312" w:cs="仿宋_GB2312"/>
          <w:snapToGrid w:val="0"/>
          <w:color w:val="000000"/>
          <w:kern w:val="0"/>
          <w:sz w:val="30"/>
          <w:szCs w:val="30"/>
          <w:highlight w:val="none"/>
          <w:lang w:val="en-US" w:eastAsia="en-US" w:bidi="ar-SA"/>
        </w:rPr>
        <w:t>承担相应法律责任</w:t>
      </w:r>
      <w:r>
        <w:rPr>
          <w:rFonts w:hint="eastAsia" w:ascii="仿宋_GB2312" w:hAnsi="仿宋_GB2312" w:eastAsia="仿宋_GB2312" w:cs="仿宋_GB2312"/>
          <w:snapToGrid w:val="0"/>
          <w:color w:val="000000"/>
          <w:kern w:val="0"/>
          <w:sz w:val="30"/>
          <w:szCs w:val="30"/>
          <w:highlight w:val="none"/>
          <w:lang w:val="en-US" w:eastAsia="zh-CN" w:bidi="ar-SA"/>
        </w:rPr>
        <w:t>。</w:t>
      </w:r>
    </w:p>
    <w:p>
      <w:pPr>
        <w:pStyle w:val="4"/>
        <w:keepNext w:val="0"/>
        <w:keepLines w:val="0"/>
        <w:pageBreakBefore w:val="0"/>
        <w:widowControl/>
        <w:kinsoku w:val="0"/>
        <w:wordWrap/>
        <w:overflowPunct/>
        <w:topLinePunct w:val="0"/>
        <w:autoSpaceDE w:val="0"/>
        <w:autoSpaceDN w:val="0"/>
        <w:bidi w:val="0"/>
        <w:adjustRightInd w:val="0"/>
        <w:snapToGrid w:val="0"/>
        <w:spacing w:line="500" w:lineRule="exact"/>
        <w:ind w:right="0" w:firstLine="600" w:firstLineChars="200"/>
        <w:jc w:val="both"/>
        <w:textAlignment w:val="baseline"/>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本《成交确认书》一式</w:t>
      </w:r>
      <w:r>
        <w:rPr>
          <w:rFonts w:hint="eastAsia" w:ascii="仿宋_GB2312" w:hAnsi="仿宋_GB2312" w:eastAsia="仿宋_GB2312" w:cs="仿宋_GB2312"/>
          <w:sz w:val="30"/>
          <w:szCs w:val="30"/>
          <w:highlight w:val="none"/>
          <w:u w:val="single"/>
        </w:rPr>
        <w:t>伍</w:t>
      </w:r>
      <w:r>
        <w:rPr>
          <w:rFonts w:hint="eastAsia" w:ascii="仿宋_GB2312" w:hAnsi="仿宋_GB2312" w:eastAsia="仿宋_GB2312" w:cs="仿宋_GB2312"/>
          <w:sz w:val="30"/>
          <w:szCs w:val="30"/>
          <w:highlight w:val="none"/>
        </w:rPr>
        <w:t>份，挂牌人执</w:t>
      </w:r>
      <w:r>
        <w:rPr>
          <w:rFonts w:hint="eastAsia" w:ascii="仿宋_GB2312" w:hAnsi="仿宋_GB2312" w:eastAsia="仿宋_GB2312" w:cs="仿宋_GB2312"/>
          <w:sz w:val="30"/>
          <w:szCs w:val="30"/>
          <w:highlight w:val="none"/>
          <w:u w:val="single"/>
        </w:rPr>
        <w:t>壹</w:t>
      </w:r>
      <w:r>
        <w:rPr>
          <w:rFonts w:hint="eastAsia" w:ascii="仿宋_GB2312" w:hAnsi="仿宋_GB2312" w:eastAsia="仿宋_GB2312" w:cs="仿宋_GB2312"/>
          <w:sz w:val="30"/>
          <w:szCs w:val="30"/>
          <w:highlight w:val="none"/>
        </w:rPr>
        <w:t>份，出让人</w:t>
      </w:r>
      <w:r>
        <w:rPr>
          <w:rFonts w:hint="eastAsia" w:ascii="仿宋_GB2312" w:hAnsi="仿宋_GB2312" w:eastAsia="仿宋_GB2312" w:cs="仿宋_GB2312"/>
          <w:sz w:val="30"/>
          <w:szCs w:val="30"/>
          <w:highlight w:val="none"/>
          <w:lang w:eastAsia="zh-CN"/>
        </w:rPr>
        <w:t>执</w:t>
      </w:r>
      <w:r>
        <w:rPr>
          <w:rFonts w:hint="eastAsia" w:ascii="仿宋_GB2312" w:hAnsi="仿宋_GB2312" w:eastAsia="仿宋_GB2312" w:cs="仿宋_GB2312"/>
          <w:sz w:val="30"/>
          <w:szCs w:val="30"/>
          <w:highlight w:val="none"/>
          <w:u w:val="single"/>
        </w:rPr>
        <w:t>贰</w:t>
      </w:r>
      <w:r>
        <w:rPr>
          <w:rFonts w:hint="eastAsia" w:ascii="仿宋_GB2312" w:hAnsi="仿宋_GB2312" w:eastAsia="仿宋_GB2312" w:cs="仿宋_GB2312"/>
          <w:sz w:val="30"/>
          <w:szCs w:val="30"/>
          <w:highlight w:val="none"/>
        </w:rPr>
        <w:t>份</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竞得人执</w:t>
      </w:r>
      <w:r>
        <w:rPr>
          <w:rFonts w:hint="eastAsia" w:ascii="仿宋_GB2312" w:hAnsi="仿宋_GB2312" w:eastAsia="仿宋_GB2312" w:cs="仿宋_GB2312"/>
          <w:sz w:val="30"/>
          <w:szCs w:val="30"/>
          <w:highlight w:val="none"/>
          <w:u w:val="single"/>
        </w:rPr>
        <w:t>贰</w:t>
      </w:r>
      <w:r>
        <w:rPr>
          <w:rFonts w:hint="eastAsia" w:ascii="仿宋_GB2312" w:hAnsi="仿宋_GB2312" w:eastAsia="仿宋_GB2312" w:cs="仿宋_GB2312"/>
          <w:sz w:val="30"/>
          <w:szCs w:val="30"/>
          <w:highlight w:val="none"/>
        </w:rPr>
        <w:t>份。</w:t>
      </w:r>
    </w:p>
    <w:p>
      <w:pPr>
        <w:keepNext w:val="0"/>
        <w:keepLines w:val="0"/>
        <w:pageBreakBefore w:val="0"/>
        <w:wordWrap/>
        <w:overflowPunct/>
        <w:topLinePunct w:val="0"/>
        <w:bidi w:val="0"/>
        <w:spacing w:line="500" w:lineRule="exact"/>
        <w:ind w:firstLine="615"/>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sz w:val="30"/>
          <w:szCs w:val="30"/>
          <w:highlight w:val="none"/>
        </w:rPr>
        <w:t>特此确认。</w:t>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仿宋_GB2312" w:hAnsi="仿宋_GB2312" w:eastAsia="仿宋_GB2312" w:cs="仿宋_GB2312"/>
          <w:sz w:val="30"/>
          <w:szCs w:val="30"/>
          <w:highlight w:val="none"/>
          <w:u w:val="single"/>
        </w:rPr>
      </w:pPr>
      <w:r>
        <w:rPr>
          <w:rFonts w:hint="eastAsia" w:ascii="仿宋_GB2312" w:hAnsi="仿宋_GB2312" w:eastAsia="仿宋_GB2312" w:cs="仿宋_GB2312"/>
          <w:b/>
          <w:bCs/>
          <w:sz w:val="30"/>
          <w:szCs w:val="30"/>
          <w:highlight w:val="none"/>
        </w:rPr>
        <w:t>挂牌人</w:t>
      </w:r>
      <w:r>
        <w:rPr>
          <w:rFonts w:hint="eastAsia" w:ascii="仿宋_GB2312" w:hAnsi="仿宋_GB2312" w:eastAsia="仿宋_GB2312" w:cs="仿宋_GB2312"/>
          <w:b/>
          <w:bCs/>
          <w:sz w:val="30"/>
          <w:szCs w:val="30"/>
          <w:highlight w:val="none"/>
          <w:lang w:eastAsia="zh-CN"/>
        </w:rPr>
        <w:t>：</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b/>
          <w:bCs/>
          <w:sz w:val="30"/>
          <w:szCs w:val="30"/>
          <w:highlight w:val="none"/>
        </w:rPr>
        <w:t>竞得人</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sz w:val="30"/>
          <w:szCs w:val="30"/>
          <w:highlight w:val="none"/>
        </w:rPr>
        <w:t>项目负责人                 法定代表人或授权代表</w:t>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textAlignment w:val="auto"/>
        <w:rPr>
          <w:rFonts w:hint="eastAsia" w:ascii="仿宋_GB2312" w:hAnsi="仿宋_GB2312" w:eastAsia="仿宋_GB2312" w:cs="仿宋_GB2312"/>
          <w:sz w:val="30"/>
          <w:szCs w:val="30"/>
          <w:highlight w:val="none"/>
          <w:u w:val="single"/>
        </w:rPr>
      </w:pPr>
      <w:r>
        <w:rPr>
          <w:rFonts w:hint="eastAsia" w:ascii="仿宋_GB2312" w:hAnsi="仿宋_GB2312" w:eastAsia="仿宋_GB2312" w:cs="仿宋_GB2312"/>
          <w:sz w:val="30"/>
          <w:szCs w:val="30"/>
          <w:highlight w:val="none"/>
        </w:rPr>
        <w:t>(签字):</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(签字):</w:t>
      </w:r>
      <w:r>
        <w:rPr>
          <w:rFonts w:hint="eastAsia" w:ascii="仿宋_GB2312" w:hAnsi="仿宋_GB2312" w:eastAsia="仿宋_GB2312" w:cs="仿宋_GB2312"/>
          <w:sz w:val="30"/>
          <w:szCs w:val="30"/>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500" w:lineRule="exact"/>
        <w:ind w:firstLine="600" w:firstLineChars="200"/>
        <w:jc w:val="right"/>
        <w:textAlignment w:val="auto"/>
        <w:rPr>
          <w:rFonts w:hint="eastAsia" w:ascii="仿宋_GB2312" w:hAnsi="仿宋_GB2312" w:eastAsia="仿宋_GB2312" w:cs="仿宋_GB2312"/>
          <w:b w:val="0"/>
          <w:bCs w:val="0"/>
          <w:spacing w:val="-9"/>
          <w:sz w:val="44"/>
          <w:szCs w:val="44"/>
        </w:rPr>
      </w:pPr>
      <w:r>
        <w:rPr>
          <w:rFonts w:hint="eastAsia" w:ascii="仿宋_GB2312" w:hAnsi="仿宋_GB2312" w:eastAsia="仿宋_GB2312" w:cs="仿宋_GB2312"/>
          <w:sz w:val="30"/>
          <w:szCs w:val="30"/>
          <w:highlight w:val="none"/>
        </w:rPr>
        <w:t>20</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年</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月</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日</w:t>
      </w:r>
    </w:p>
    <w:p>
      <w:pPr>
        <w:pStyle w:val="2"/>
        <w:rPr>
          <w:rFonts w:hint="eastAsia" w:ascii="仿宋_GB2312" w:hAnsi="仿宋_GB2312" w:eastAsia="仿宋_GB2312" w:cs="仿宋_GB2312"/>
          <w:sz w:val="32"/>
          <w:szCs w:val="32"/>
          <w:highlight w:val="none"/>
        </w:rPr>
      </w:pPr>
    </w:p>
    <w:sectPr>
      <w:headerReference r:id="rId5" w:type="default"/>
      <w:footerReference r:id="rId6" w:type="default"/>
      <w:footerReference r:id="rId7" w:type="even"/>
      <w:pgSz w:w="11906" w:h="16838"/>
      <w:pgMar w:top="1984" w:right="1417" w:bottom="1814" w:left="1417" w:header="851" w:footer="992" w:gutter="0"/>
      <w:pgNumType w:fmt="numberInDash"/>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roman"/>
    <w:pitch w:val="default"/>
    <w:sig w:usb0="00000000" w:usb1="00000000" w:usb2="00000009" w:usb3="00000000" w:csb0="400001FF" w:csb1="FFFF0000"/>
  </w:font>
  <w:font w:name="宋体">
    <w:altName w:val="方正书宋_GBK"/>
    <w:panose1 w:val="02010600030101010101"/>
    <w:charset w:val="88"/>
    <w:family w:val="modern"/>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楷体_GBK">
    <w:panose1 w:val="02000000000000000000"/>
    <w:charset w:val="86"/>
    <w:family w:val="auto"/>
    <w:pitch w:val="default"/>
    <w:sig w:usb0="00000001" w:usb1="08000000" w:usb2="00000000" w:usb3="00000000" w:csb0="00040000" w:csb1="00000000"/>
  </w:font>
  <w:font w:name="文星简小标宋">
    <w:altName w:val="方正小标宋简体"/>
    <w:panose1 w:val="02010609000101010101"/>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1" name="文本框 30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Style w:val="13"/>
                              <w:sz w:val="28"/>
                              <w:szCs w:val="28"/>
                            </w:rPr>
                          </w:pPr>
                          <w:r>
                            <w:rPr>
                              <w:sz w:val="28"/>
                              <w:szCs w:val="28"/>
                            </w:rPr>
                            <w:fldChar w:fldCharType="begin"/>
                          </w:r>
                          <w:r>
                            <w:rPr>
                              <w:rStyle w:val="13"/>
                              <w:sz w:val="28"/>
                              <w:szCs w:val="28"/>
                            </w:rPr>
                            <w:instrText xml:space="preserve">PAGE  </w:instrText>
                          </w:r>
                          <w:r>
                            <w:rPr>
                              <w:sz w:val="28"/>
                              <w:szCs w:val="28"/>
                            </w:rPr>
                            <w:fldChar w:fldCharType="separate"/>
                          </w:r>
                          <w:r>
                            <w:rPr>
                              <w:rStyle w:val="13"/>
                              <w:sz w:val="28"/>
                              <w:szCs w:val="28"/>
                            </w:rPr>
                            <w:t>6</w:t>
                          </w:r>
                          <w:r>
                            <w:rPr>
                              <w:sz w:val="28"/>
                              <w:szCs w:val="28"/>
                            </w:rPr>
                            <w:fldChar w:fldCharType="end"/>
                          </w:r>
                        </w:p>
                      </w:txbxContent>
                    </wps:txbx>
                    <wps:bodyPr vert="horz" wrap="none" lIns="0" tIns="0" rIns="0" bIns="0" anchor="t" anchorCtr="0" upright="0">
                      <a:spAutoFit/>
                    </wps:bodyPr>
                  </wps:wsp>
                </a:graphicData>
              </a:graphic>
            </wp:anchor>
          </w:drawing>
        </mc:Choice>
        <mc:Fallback>
          <w:pict>
            <v:shape id="文本框 3073"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">
              <v:fill on="f" focussize="0,0"/>
              <v:stroke on="f" weight="1.25pt"/>
              <v:imagedata o:title=""/>
              <o:lock v:ext="edit" aspectratio="f"/>
              <v:textbox inset="0mm,0mm,0mm,0mm" style="mso-fit-shape-to-text:t;">
                <w:txbxContent>
                  <w:p>
                    <w:pPr>
                      <w:pStyle w:val="6"/>
                      <w:rPr>
                        <w:rStyle w:val="13"/>
                        <w:sz w:val="28"/>
                        <w:szCs w:val="28"/>
                      </w:rPr>
                    </w:pPr>
                    <w:r>
                      <w:rPr>
                        <w:sz w:val="28"/>
                        <w:szCs w:val="28"/>
                      </w:rPr>
                      <w:fldChar w:fldCharType="begin"/>
                    </w:r>
                    <w:r>
                      <w:rPr>
                        <w:rStyle w:val="13"/>
                        <w:sz w:val="28"/>
                        <w:szCs w:val="28"/>
                      </w:rPr>
                      <w:instrText xml:space="preserve">PAGE  </w:instrText>
                    </w:r>
                    <w:r>
                      <w:rPr>
                        <w:sz w:val="28"/>
                        <w:szCs w:val="28"/>
                      </w:rPr>
                      <w:fldChar w:fldCharType="separate"/>
                    </w:r>
                    <w:r>
                      <w:rPr>
                        <w:rStyle w:val="13"/>
                        <w:sz w:val="28"/>
                        <w:szCs w:val="28"/>
                      </w:rPr>
                      <w:t>6</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0</wp:posOffset>
              </wp:positionV>
              <wp:extent cx="1828800" cy="1828800"/>
              <wp:effectExtent l="0" t="0" r="0" b="0"/>
              <wp:wrapNone/>
              <wp:docPr id="2" name="文本框 30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Style w:val="13"/>
                              <w:sz w:val="28"/>
                              <w:szCs w:val="28"/>
                            </w:rPr>
                          </w:pPr>
                          <w:r>
                            <w:rPr>
                              <w:sz w:val="28"/>
                              <w:szCs w:val="28"/>
                            </w:rPr>
                            <w:fldChar w:fldCharType="begin"/>
                          </w:r>
                          <w:r>
                            <w:rPr>
                              <w:rStyle w:val="13"/>
                              <w:sz w:val="28"/>
                              <w:szCs w:val="28"/>
                            </w:rPr>
                            <w:instrText xml:space="preserve">PAGE  </w:instrText>
                          </w:r>
                          <w:r>
                            <w:rPr>
                              <w:sz w:val="28"/>
                              <w:szCs w:val="28"/>
                            </w:rPr>
                            <w:fldChar w:fldCharType="separate"/>
                          </w:r>
                          <w:r>
                            <w:rPr>
                              <w:rStyle w:val="13"/>
                              <w:sz w:val="28"/>
                              <w:szCs w:val="28"/>
                            </w:rPr>
                            <w:t>8</w:t>
                          </w:r>
                          <w:r>
                            <w:rPr>
                              <w:sz w:val="28"/>
                              <w:szCs w:val="28"/>
                            </w:rPr>
                            <w:fldChar w:fldCharType="end"/>
                          </w:r>
                        </w:p>
                      </w:txbxContent>
                    </wps:txbx>
                    <wps:bodyPr vert="horz" wrap="none" lIns="0" tIns="0" rIns="0" bIns="0" anchor="t" anchorCtr="0" upright="0">
                      <a:spAutoFit/>
                    </wps:bodyPr>
                  </wps:wsp>
                </a:graphicData>
              </a:graphic>
            </wp:anchor>
          </w:drawing>
        </mc:Choice>
        <mc:Fallback>
          <w:pict>
            <v:shape id="文本框 3074" o:spid="_x0000_s1026" o:spt="202" type="#_x0000_t202" style="position:absolute;left:0pt;margin-top:0pt;height:144pt;width:144pt;mso-position-horizontal:inside;mso-position-horizontal-relative:margin;mso-wrap-style:none;z-index:251660288;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">
              <v:fill on="f" focussize="0,0"/>
              <v:stroke on="f" weight="1.25pt"/>
              <v:imagedata o:title=""/>
              <o:lock v:ext="edit" aspectratio="f"/>
              <v:textbox inset="0mm,0mm,0mm,0mm" style="mso-fit-shape-to-text:t;">
                <w:txbxContent>
                  <w:p>
                    <w:pPr>
                      <w:pStyle w:val="6"/>
                      <w:rPr>
                        <w:rStyle w:val="13"/>
                        <w:sz w:val="28"/>
                        <w:szCs w:val="28"/>
                      </w:rPr>
                    </w:pPr>
                    <w:r>
                      <w:rPr>
                        <w:sz w:val="28"/>
                        <w:szCs w:val="28"/>
                      </w:rPr>
                      <w:fldChar w:fldCharType="begin"/>
                    </w:r>
                    <w:r>
                      <w:rPr>
                        <w:rStyle w:val="13"/>
                        <w:sz w:val="28"/>
                        <w:szCs w:val="28"/>
                      </w:rPr>
                      <w:instrText xml:space="preserve">PAGE  </w:instrText>
                    </w:r>
                    <w:r>
                      <w:rPr>
                        <w:sz w:val="28"/>
                        <w:szCs w:val="28"/>
                      </w:rPr>
                      <w:fldChar w:fldCharType="separate"/>
                    </w:r>
                    <w:r>
                      <w:rPr>
                        <w:rStyle w:val="13"/>
                        <w:sz w:val="28"/>
                        <w:szCs w:val="28"/>
                      </w:rPr>
                      <w:t>8</w:t>
                    </w:r>
                    <w:r>
                      <w:rPr>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3"/>
      </w:rPr>
    </w:pPr>
    <w:r>
      <w:fldChar w:fldCharType="begin"/>
    </w:r>
    <w:r>
      <w:rPr>
        <w:rStyle w:val="13"/>
      </w:rPr>
      <w:instrText xml:space="preserve">PAGE  </w:instrText>
    </w:r>
    <w:r>
      <w:fldChar w:fldCharType="separate"/>
    </w:r>
    <w:r>
      <w:fldChar w:fldCharType="end"/>
    </w:r>
  </w:p>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5A52F9"/>
    <w:multiLevelType w:val="singleLevel"/>
    <w:tmpl w:val="585A52F9"/>
    <w:lvl w:ilvl="0" w:tentative="0">
      <w:start w:val="3"/>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5"/>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IwODBjODZlYjE2NWZkYTkwNjNjYjM3MDlkZWYwODYifQ=="/>
  </w:docVars>
  <w:rsids>
    <w:rsidRoot w:val="00172A27"/>
    <w:rsid w:val="00003F8A"/>
    <w:rsid w:val="0000715D"/>
    <w:rsid w:val="000A67FC"/>
    <w:rsid w:val="000C1275"/>
    <w:rsid w:val="000C348F"/>
    <w:rsid w:val="000D4093"/>
    <w:rsid w:val="000D76EC"/>
    <w:rsid w:val="000E0931"/>
    <w:rsid w:val="000F182C"/>
    <w:rsid w:val="000F44CA"/>
    <w:rsid w:val="000F6005"/>
    <w:rsid w:val="001029F0"/>
    <w:rsid w:val="00104763"/>
    <w:rsid w:val="001304CB"/>
    <w:rsid w:val="00137AF1"/>
    <w:rsid w:val="00143773"/>
    <w:rsid w:val="00150E38"/>
    <w:rsid w:val="00152742"/>
    <w:rsid w:val="001552D2"/>
    <w:rsid w:val="00156455"/>
    <w:rsid w:val="00157364"/>
    <w:rsid w:val="00160FD1"/>
    <w:rsid w:val="00161B65"/>
    <w:rsid w:val="0016408A"/>
    <w:rsid w:val="0017665B"/>
    <w:rsid w:val="001A4CA6"/>
    <w:rsid w:val="001A5E1D"/>
    <w:rsid w:val="001A76AF"/>
    <w:rsid w:val="001A7F8D"/>
    <w:rsid w:val="001B5670"/>
    <w:rsid w:val="001C3CB8"/>
    <w:rsid w:val="001C779A"/>
    <w:rsid w:val="001D5EEF"/>
    <w:rsid w:val="0021386B"/>
    <w:rsid w:val="0022445F"/>
    <w:rsid w:val="00252576"/>
    <w:rsid w:val="002615C7"/>
    <w:rsid w:val="00261895"/>
    <w:rsid w:val="0028176A"/>
    <w:rsid w:val="002860C5"/>
    <w:rsid w:val="00286D40"/>
    <w:rsid w:val="00291B45"/>
    <w:rsid w:val="002931EA"/>
    <w:rsid w:val="00293F8B"/>
    <w:rsid w:val="00297C3B"/>
    <w:rsid w:val="002A4E7F"/>
    <w:rsid w:val="002A7720"/>
    <w:rsid w:val="002B0E5A"/>
    <w:rsid w:val="002B39F4"/>
    <w:rsid w:val="002C50B7"/>
    <w:rsid w:val="002C5779"/>
    <w:rsid w:val="00313155"/>
    <w:rsid w:val="00320DA1"/>
    <w:rsid w:val="0034597D"/>
    <w:rsid w:val="0034623E"/>
    <w:rsid w:val="00352A06"/>
    <w:rsid w:val="003612C9"/>
    <w:rsid w:val="0036424D"/>
    <w:rsid w:val="0037269E"/>
    <w:rsid w:val="0037586E"/>
    <w:rsid w:val="00385761"/>
    <w:rsid w:val="0039456A"/>
    <w:rsid w:val="003A3324"/>
    <w:rsid w:val="003B3E98"/>
    <w:rsid w:val="003C18D7"/>
    <w:rsid w:val="003E1A8F"/>
    <w:rsid w:val="003E1BB4"/>
    <w:rsid w:val="003F2579"/>
    <w:rsid w:val="003F4D58"/>
    <w:rsid w:val="003F6780"/>
    <w:rsid w:val="00400C43"/>
    <w:rsid w:val="00450B13"/>
    <w:rsid w:val="00450C46"/>
    <w:rsid w:val="004536F8"/>
    <w:rsid w:val="00456366"/>
    <w:rsid w:val="00474C8E"/>
    <w:rsid w:val="00475484"/>
    <w:rsid w:val="00480193"/>
    <w:rsid w:val="00483211"/>
    <w:rsid w:val="0049122C"/>
    <w:rsid w:val="004A0AAE"/>
    <w:rsid w:val="004A38C4"/>
    <w:rsid w:val="004A578A"/>
    <w:rsid w:val="004C063E"/>
    <w:rsid w:val="004C3AA6"/>
    <w:rsid w:val="004C410E"/>
    <w:rsid w:val="004E5D42"/>
    <w:rsid w:val="004F18F7"/>
    <w:rsid w:val="00512EFA"/>
    <w:rsid w:val="005144A9"/>
    <w:rsid w:val="00515682"/>
    <w:rsid w:val="00521399"/>
    <w:rsid w:val="00540B7F"/>
    <w:rsid w:val="00556C6B"/>
    <w:rsid w:val="005737A9"/>
    <w:rsid w:val="00576071"/>
    <w:rsid w:val="005904E5"/>
    <w:rsid w:val="005954C0"/>
    <w:rsid w:val="0059790C"/>
    <w:rsid w:val="005B0998"/>
    <w:rsid w:val="005B47E6"/>
    <w:rsid w:val="005C1118"/>
    <w:rsid w:val="005C13D7"/>
    <w:rsid w:val="005E2F7F"/>
    <w:rsid w:val="005F28A5"/>
    <w:rsid w:val="0060190D"/>
    <w:rsid w:val="00607AE0"/>
    <w:rsid w:val="0061349E"/>
    <w:rsid w:val="00617C5D"/>
    <w:rsid w:val="0067318B"/>
    <w:rsid w:val="0068213D"/>
    <w:rsid w:val="00696982"/>
    <w:rsid w:val="006A5B24"/>
    <w:rsid w:val="006C11A8"/>
    <w:rsid w:val="006D1EC4"/>
    <w:rsid w:val="006E3905"/>
    <w:rsid w:val="006E43E6"/>
    <w:rsid w:val="006E471F"/>
    <w:rsid w:val="00707688"/>
    <w:rsid w:val="0072247C"/>
    <w:rsid w:val="00741C83"/>
    <w:rsid w:val="00767E76"/>
    <w:rsid w:val="007754FA"/>
    <w:rsid w:val="007870B6"/>
    <w:rsid w:val="00795392"/>
    <w:rsid w:val="007C17F3"/>
    <w:rsid w:val="007E18D6"/>
    <w:rsid w:val="007E7B53"/>
    <w:rsid w:val="007F22FB"/>
    <w:rsid w:val="007F772D"/>
    <w:rsid w:val="008021F6"/>
    <w:rsid w:val="00837171"/>
    <w:rsid w:val="00841468"/>
    <w:rsid w:val="00841A42"/>
    <w:rsid w:val="00856068"/>
    <w:rsid w:val="00860AEC"/>
    <w:rsid w:val="00861083"/>
    <w:rsid w:val="00862409"/>
    <w:rsid w:val="00871EB6"/>
    <w:rsid w:val="00883B65"/>
    <w:rsid w:val="00891ACA"/>
    <w:rsid w:val="008A4709"/>
    <w:rsid w:val="008C124C"/>
    <w:rsid w:val="008D2C60"/>
    <w:rsid w:val="008E39EF"/>
    <w:rsid w:val="008E4E2B"/>
    <w:rsid w:val="008E55DF"/>
    <w:rsid w:val="008E6EB4"/>
    <w:rsid w:val="008E6ED2"/>
    <w:rsid w:val="008E728E"/>
    <w:rsid w:val="008F3315"/>
    <w:rsid w:val="008F4CE1"/>
    <w:rsid w:val="00913769"/>
    <w:rsid w:val="00920EEA"/>
    <w:rsid w:val="00945756"/>
    <w:rsid w:val="00945C5C"/>
    <w:rsid w:val="009472C6"/>
    <w:rsid w:val="00951B19"/>
    <w:rsid w:val="00964E00"/>
    <w:rsid w:val="00993E03"/>
    <w:rsid w:val="009B3540"/>
    <w:rsid w:val="009B42DA"/>
    <w:rsid w:val="009B4989"/>
    <w:rsid w:val="009B60BA"/>
    <w:rsid w:val="009C4CC5"/>
    <w:rsid w:val="00A001C9"/>
    <w:rsid w:val="00A3266B"/>
    <w:rsid w:val="00A37560"/>
    <w:rsid w:val="00A46E00"/>
    <w:rsid w:val="00A52A76"/>
    <w:rsid w:val="00A622E0"/>
    <w:rsid w:val="00A9027F"/>
    <w:rsid w:val="00AD129B"/>
    <w:rsid w:val="00AD2B7A"/>
    <w:rsid w:val="00AD3163"/>
    <w:rsid w:val="00AD6040"/>
    <w:rsid w:val="00AE7C70"/>
    <w:rsid w:val="00B02248"/>
    <w:rsid w:val="00B25B36"/>
    <w:rsid w:val="00B40E18"/>
    <w:rsid w:val="00B432E2"/>
    <w:rsid w:val="00B43AB2"/>
    <w:rsid w:val="00B56E7A"/>
    <w:rsid w:val="00B72C01"/>
    <w:rsid w:val="00B745A6"/>
    <w:rsid w:val="00B76056"/>
    <w:rsid w:val="00B96007"/>
    <w:rsid w:val="00B96026"/>
    <w:rsid w:val="00BB774F"/>
    <w:rsid w:val="00BC1850"/>
    <w:rsid w:val="00BD2142"/>
    <w:rsid w:val="00BF29A9"/>
    <w:rsid w:val="00BF59BB"/>
    <w:rsid w:val="00C22C0C"/>
    <w:rsid w:val="00C27917"/>
    <w:rsid w:val="00C40AF6"/>
    <w:rsid w:val="00C42C19"/>
    <w:rsid w:val="00C46AE4"/>
    <w:rsid w:val="00C46E2F"/>
    <w:rsid w:val="00C51A2E"/>
    <w:rsid w:val="00C6391A"/>
    <w:rsid w:val="00C803DD"/>
    <w:rsid w:val="00C835F3"/>
    <w:rsid w:val="00C87AE3"/>
    <w:rsid w:val="00C87B26"/>
    <w:rsid w:val="00C93B49"/>
    <w:rsid w:val="00C94292"/>
    <w:rsid w:val="00CA0919"/>
    <w:rsid w:val="00CA5906"/>
    <w:rsid w:val="00CB703A"/>
    <w:rsid w:val="00D00B77"/>
    <w:rsid w:val="00D36611"/>
    <w:rsid w:val="00D513D8"/>
    <w:rsid w:val="00D75828"/>
    <w:rsid w:val="00D768A1"/>
    <w:rsid w:val="00DB2551"/>
    <w:rsid w:val="00DB2C15"/>
    <w:rsid w:val="00DB6640"/>
    <w:rsid w:val="00DB72A8"/>
    <w:rsid w:val="00DC3C60"/>
    <w:rsid w:val="00DC4836"/>
    <w:rsid w:val="00DC50F3"/>
    <w:rsid w:val="00DD69BE"/>
    <w:rsid w:val="00DE273B"/>
    <w:rsid w:val="00DF3771"/>
    <w:rsid w:val="00DF3E3A"/>
    <w:rsid w:val="00E017E0"/>
    <w:rsid w:val="00E031C9"/>
    <w:rsid w:val="00E05168"/>
    <w:rsid w:val="00E233D4"/>
    <w:rsid w:val="00E30A3C"/>
    <w:rsid w:val="00E31F20"/>
    <w:rsid w:val="00E34E37"/>
    <w:rsid w:val="00E65E14"/>
    <w:rsid w:val="00E7179C"/>
    <w:rsid w:val="00E815DB"/>
    <w:rsid w:val="00E83EC3"/>
    <w:rsid w:val="00E87EB4"/>
    <w:rsid w:val="00EA10E1"/>
    <w:rsid w:val="00EC2BFE"/>
    <w:rsid w:val="00EC4B64"/>
    <w:rsid w:val="00EC55EC"/>
    <w:rsid w:val="00EE37B5"/>
    <w:rsid w:val="00EE48E8"/>
    <w:rsid w:val="00EF0E7E"/>
    <w:rsid w:val="00EF1CB9"/>
    <w:rsid w:val="00EF2066"/>
    <w:rsid w:val="00EF339A"/>
    <w:rsid w:val="00EF65F5"/>
    <w:rsid w:val="00F2662C"/>
    <w:rsid w:val="00F44BBB"/>
    <w:rsid w:val="00F472DD"/>
    <w:rsid w:val="00F53E9F"/>
    <w:rsid w:val="00F66B93"/>
    <w:rsid w:val="00F76363"/>
    <w:rsid w:val="00F8098C"/>
    <w:rsid w:val="00F90F8A"/>
    <w:rsid w:val="00FB5994"/>
    <w:rsid w:val="00FC72A4"/>
    <w:rsid w:val="00FD439A"/>
    <w:rsid w:val="00FE4AD0"/>
    <w:rsid w:val="00FF75E7"/>
    <w:rsid w:val="011C2E14"/>
    <w:rsid w:val="01223DC1"/>
    <w:rsid w:val="01240F6C"/>
    <w:rsid w:val="0126649C"/>
    <w:rsid w:val="01314BB5"/>
    <w:rsid w:val="0150688F"/>
    <w:rsid w:val="015A6A50"/>
    <w:rsid w:val="01802F51"/>
    <w:rsid w:val="01867065"/>
    <w:rsid w:val="018D077E"/>
    <w:rsid w:val="01C74429"/>
    <w:rsid w:val="01EC0F3B"/>
    <w:rsid w:val="01FA47FF"/>
    <w:rsid w:val="020F57E1"/>
    <w:rsid w:val="0241410D"/>
    <w:rsid w:val="024A79D3"/>
    <w:rsid w:val="025442C5"/>
    <w:rsid w:val="027C352A"/>
    <w:rsid w:val="02B71683"/>
    <w:rsid w:val="02DB22AC"/>
    <w:rsid w:val="02E576AD"/>
    <w:rsid w:val="02F80BFA"/>
    <w:rsid w:val="03104FFE"/>
    <w:rsid w:val="035542F8"/>
    <w:rsid w:val="037D4754"/>
    <w:rsid w:val="03AA4876"/>
    <w:rsid w:val="03AC3146"/>
    <w:rsid w:val="03B00855"/>
    <w:rsid w:val="03E14381"/>
    <w:rsid w:val="03F139E0"/>
    <w:rsid w:val="04107436"/>
    <w:rsid w:val="041E22FB"/>
    <w:rsid w:val="04A673C0"/>
    <w:rsid w:val="04BB5C09"/>
    <w:rsid w:val="04C77379"/>
    <w:rsid w:val="04E67992"/>
    <w:rsid w:val="0525353A"/>
    <w:rsid w:val="05371466"/>
    <w:rsid w:val="05926700"/>
    <w:rsid w:val="06455218"/>
    <w:rsid w:val="064D204A"/>
    <w:rsid w:val="065110EC"/>
    <w:rsid w:val="06B40739"/>
    <w:rsid w:val="06CA261E"/>
    <w:rsid w:val="06CF132A"/>
    <w:rsid w:val="077A7270"/>
    <w:rsid w:val="077C1438"/>
    <w:rsid w:val="078246FB"/>
    <w:rsid w:val="07937AA3"/>
    <w:rsid w:val="07C13CCA"/>
    <w:rsid w:val="085B1D6F"/>
    <w:rsid w:val="08C15376"/>
    <w:rsid w:val="08D44585"/>
    <w:rsid w:val="099170BC"/>
    <w:rsid w:val="09D242DF"/>
    <w:rsid w:val="0A2552B0"/>
    <w:rsid w:val="0A6D224B"/>
    <w:rsid w:val="0AC571BD"/>
    <w:rsid w:val="0AD007F3"/>
    <w:rsid w:val="0ADA515C"/>
    <w:rsid w:val="0AE135C0"/>
    <w:rsid w:val="0AE80115"/>
    <w:rsid w:val="0AF71C36"/>
    <w:rsid w:val="0B456B22"/>
    <w:rsid w:val="0B5E0D38"/>
    <w:rsid w:val="0B887EAE"/>
    <w:rsid w:val="0BFA677A"/>
    <w:rsid w:val="0C487BBC"/>
    <w:rsid w:val="0C7B29E0"/>
    <w:rsid w:val="0CBF5CFF"/>
    <w:rsid w:val="0CE077E2"/>
    <w:rsid w:val="0D1D75F3"/>
    <w:rsid w:val="0D404502"/>
    <w:rsid w:val="0D8539D6"/>
    <w:rsid w:val="0DBA6EA8"/>
    <w:rsid w:val="0E0D16F6"/>
    <w:rsid w:val="0E446E52"/>
    <w:rsid w:val="0E910A9A"/>
    <w:rsid w:val="0EA77ABC"/>
    <w:rsid w:val="0EEA14BD"/>
    <w:rsid w:val="0F340C07"/>
    <w:rsid w:val="0F97417B"/>
    <w:rsid w:val="0FBB75E8"/>
    <w:rsid w:val="101D0200"/>
    <w:rsid w:val="102A2D01"/>
    <w:rsid w:val="102B2DB3"/>
    <w:rsid w:val="10730B6B"/>
    <w:rsid w:val="107345BF"/>
    <w:rsid w:val="109B4F18"/>
    <w:rsid w:val="10FF794D"/>
    <w:rsid w:val="111B31FB"/>
    <w:rsid w:val="11441C25"/>
    <w:rsid w:val="11924B75"/>
    <w:rsid w:val="11952B5B"/>
    <w:rsid w:val="11AD0BB5"/>
    <w:rsid w:val="120363E1"/>
    <w:rsid w:val="12723F3D"/>
    <w:rsid w:val="12A22DAA"/>
    <w:rsid w:val="12C65B9A"/>
    <w:rsid w:val="12E0360E"/>
    <w:rsid w:val="13002CE9"/>
    <w:rsid w:val="130B7EEE"/>
    <w:rsid w:val="13353864"/>
    <w:rsid w:val="13380604"/>
    <w:rsid w:val="13A52745"/>
    <w:rsid w:val="13D44784"/>
    <w:rsid w:val="14361313"/>
    <w:rsid w:val="14531B4D"/>
    <w:rsid w:val="145A45B9"/>
    <w:rsid w:val="149E3C17"/>
    <w:rsid w:val="14B355E3"/>
    <w:rsid w:val="14D5624B"/>
    <w:rsid w:val="14D830C3"/>
    <w:rsid w:val="14FD1ABD"/>
    <w:rsid w:val="151467E8"/>
    <w:rsid w:val="155C2957"/>
    <w:rsid w:val="15747FCD"/>
    <w:rsid w:val="15A838CC"/>
    <w:rsid w:val="16012C16"/>
    <w:rsid w:val="160B5D9B"/>
    <w:rsid w:val="16101AC2"/>
    <w:rsid w:val="16177ADB"/>
    <w:rsid w:val="163A0C00"/>
    <w:rsid w:val="16734728"/>
    <w:rsid w:val="16842068"/>
    <w:rsid w:val="168B1A72"/>
    <w:rsid w:val="16A411B1"/>
    <w:rsid w:val="16B35533"/>
    <w:rsid w:val="16EA2DBA"/>
    <w:rsid w:val="174B2FAF"/>
    <w:rsid w:val="178E7403"/>
    <w:rsid w:val="17B45DE2"/>
    <w:rsid w:val="17C01D7C"/>
    <w:rsid w:val="17F32CA0"/>
    <w:rsid w:val="180E72B8"/>
    <w:rsid w:val="181F07E4"/>
    <w:rsid w:val="182D7DBF"/>
    <w:rsid w:val="186A1134"/>
    <w:rsid w:val="18732EA8"/>
    <w:rsid w:val="188D252A"/>
    <w:rsid w:val="18A230A3"/>
    <w:rsid w:val="190A6A16"/>
    <w:rsid w:val="192A3410"/>
    <w:rsid w:val="19545655"/>
    <w:rsid w:val="1989644E"/>
    <w:rsid w:val="19C07C84"/>
    <w:rsid w:val="19D4226B"/>
    <w:rsid w:val="1A330A06"/>
    <w:rsid w:val="1A535596"/>
    <w:rsid w:val="1A862C7C"/>
    <w:rsid w:val="1A8721E7"/>
    <w:rsid w:val="1AC45552"/>
    <w:rsid w:val="1AD24384"/>
    <w:rsid w:val="1ADF413A"/>
    <w:rsid w:val="1B6C2BE7"/>
    <w:rsid w:val="1B882F0D"/>
    <w:rsid w:val="1BC4709A"/>
    <w:rsid w:val="1C07269B"/>
    <w:rsid w:val="1CA052F8"/>
    <w:rsid w:val="1CF4289C"/>
    <w:rsid w:val="1D503BF3"/>
    <w:rsid w:val="1D5077D3"/>
    <w:rsid w:val="1D83117D"/>
    <w:rsid w:val="1D9A7186"/>
    <w:rsid w:val="1DB41697"/>
    <w:rsid w:val="1DE7379B"/>
    <w:rsid w:val="1E107116"/>
    <w:rsid w:val="1E945FC9"/>
    <w:rsid w:val="1EB109E6"/>
    <w:rsid w:val="1EC00C50"/>
    <w:rsid w:val="1EE35E25"/>
    <w:rsid w:val="1F5C54C5"/>
    <w:rsid w:val="1F64731F"/>
    <w:rsid w:val="1FA355DE"/>
    <w:rsid w:val="1FB5688C"/>
    <w:rsid w:val="1FF741B9"/>
    <w:rsid w:val="20320376"/>
    <w:rsid w:val="203458FD"/>
    <w:rsid w:val="20BE6DE3"/>
    <w:rsid w:val="20E165BA"/>
    <w:rsid w:val="20F84AAA"/>
    <w:rsid w:val="20FD1681"/>
    <w:rsid w:val="21647F74"/>
    <w:rsid w:val="21B06830"/>
    <w:rsid w:val="224D407F"/>
    <w:rsid w:val="22550DF8"/>
    <w:rsid w:val="225A6BB9"/>
    <w:rsid w:val="225D0766"/>
    <w:rsid w:val="22861A9F"/>
    <w:rsid w:val="22AE180E"/>
    <w:rsid w:val="22E74A55"/>
    <w:rsid w:val="22EB5A3E"/>
    <w:rsid w:val="2310611F"/>
    <w:rsid w:val="231D2667"/>
    <w:rsid w:val="2393616C"/>
    <w:rsid w:val="23BB3606"/>
    <w:rsid w:val="23C64433"/>
    <w:rsid w:val="23CE5BB3"/>
    <w:rsid w:val="23D94F03"/>
    <w:rsid w:val="24264B88"/>
    <w:rsid w:val="242F3DD2"/>
    <w:rsid w:val="24C74DF5"/>
    <w:rsid w:val="24FE7E22"/>
    <w:rsid w:val="251C407A"/>
    <w:rsid w:val="252A5DDA"/>
    <w:rsid w:val="25336ADD"/>
    <w:rsid w:val="25674D1E"/>
    <w:rsid w:val="25C043B0"/>
    <w:rsid w:val="261C7ACC"/>
    <w:rsid w:val="266B71D2"/>
    <w:rsid w:val="26A1211B"/>
    <w:rsid w:val="26D6219C"/>
    <w:rsid w:val="272645DE"/>
    <w:rsid w:val="27D91DE6"/>
    <w:rsid w:val="281524E9"/>
    <w:rsid w:val="28360963"/>
    <w:rsid w:val="28471C8E"/>
    <w:rsid w:val="28974E47"/>
    <w:rsid w:val="28C57065"/>
    <w:rsid w:val="28F16F4E"/>
    <w:rsid w:val="290326D3"/>
    <w:rsid w:val="294E3245"/>
    <w:rsid w:val="295B27E7"/>
    <w:rsid w:val="29CD50D8"/>
    <w:rsid w:val="29F47DDC"/>
    <w:rsid w:val="2A690F24"/>
    <w:rsid w:val="2A725360"/>
    <w:rsid w:val="2AC43F2F"/>
    <w:rsid w:val="2AD83391"/>
    <w:rsid w:val="2ADE4BE0"/>
    <w:rsid w:val="2AF008B5"/>
    <w:rsid w:val="2B057BED"/>
    <w:rsid w:val="2B6D5942"/>
    <w:rsid w:val="2C8C39F6"/>
    <w:rsid w:val="2CB92F6F"/>
    <w:rsid w:val="2CC639A0"/>
    <w:rsid w:val="2CD03DD6"/>
    <w:rsid w:val="2CE83322"/>
    <w:rsid w:val="2CED26E7"/>
    <w:rsid w:val="2CFA5F8B"/>
    <w:rsid w:val="2D0B7FD3"/>
    <w:rsid w:val="2D102C7E"/>
    <w:rsid w:val="2D103B4B"/>
    <w:rsid w:val="2D2D342B"/>
    <w:rsid w:val="2D8868B3"/>
    <w:rsid w:val="2DB33DE8"/>
    <w:rsid w:val="2DC75B96"/>
    <w:rsid w:val="2DE63838"/>
    <w:rsid w:val="2E5B7F43"/>
    <w:rsid w:val="2E7A2096"/>
    <w:rsid w:val="2F2D14C0"/>
    <w:rsid w:val="2F3C71C8"/>
    <w:rsid w:val="2F621663"/>
    <w:rsid w:val="2F857742"/>
    <w:rsid w:val="2F987F94"/>
    <w:rsid w:val="2FD67E41"/>
    <w:rsid w:val="304607FD"/>
    <w:rsid w:val="309A732E"/>
    <w:rsid w:val="309E19AB"/>
    <w:rsid w:val="30E0313B"/>
    <w:rsid w:val="3116112E"/>
    <w:rsid w:val="31741359"/>
    <w:rsid w:val="31C60FA5"/>
    <w:rsid w:val="31F0376C"/>
    <w:rsid w:val="322A7F39"/>
    <w:rsid w:val="32584226"/>
    <w:rsid w:val="32BD68CC"/>
    <w:rsid w:val="32F1538F"/>
    <w:rsid w:val="32FF0FBD"/>
    <w:rsid w:val="333937FA"/>
    <w:rsid w:val="333E1891"/>
    <w:rsid w:val="334D2E0A"/>
    <w:rsid w:val="338C3686"/>
    <w:rsid w:val="34BB131C"/>
    <w:rsid w:val="34BB7FEF"/>
    <w:rsid w:val="34DF500B"/>
    <w:rsid w:val="34F16668"/>
    <w:rsid w:val="35063900"/>
    <w:rsid w:val="355B7774"/>
    <w:rsid w:val="358C4746"/>
    <w:rsid w:val="3599317A"/>
    <w:rsid w:val="359D68E9"/>
    <w:rsid w:val="35A078A4"/>
    <w:rsid w:val="35D85015"/>
    <w:rsid w:val="35DD6C8E"/>
    <w:rsid w:val="35E53597"/>
    <w:rsid w:val="364B43C6"/>
    <w:rsid w:val="364D53F6"/>
    <w:rsid w:val="3679516F"/>
    <w:rsid w:val="372E3BA5"/>
    <w:rsid w:val="3741727C"/>
    <w:rsid w:val="374F27AE"/>
    <w:rsid w:val="376C4A84"/>
    <w:rsid w:val="378B2A8B"/>
    <w:rsid w:val="37917B16"/>
    <w:rsid w:val="379D7F1D"/>
    <w:rsid w:val="385C2E16"/>
    <w:rsid w:val="38895651"/>
    <w:rsid w:val="38A81D0E"/>
    <w:rsid w:val="38A946A5"/>
    <w:rsid w:val="390168FF"/>
    <w:rsid w:val="3954475C"/>
    <w:rsid w:val="39CB7529"/>
    <w:rsid w:val="39E93A5F"/>
    <w:rsid w:val="3A646CDA"/>
    <w:rsid w:val="3A6D30B9"/>
    <w:rsid w:val="3ACD6D22"/>
    <w:rsid w:val="3B4465D8"/>
    <w:rsid w:val="3BA565CC"/>
    <w:rsid w:val="3BE42C1A"/>
    <w:rsid w:val="3BE95ACE"/>
    <w:rsid w:val="3BFF2436"/>
    <w:rsid w:val="3C1F3252"/>
    <w:rsid w:val="3C9455E1"/>
    <w:rsid w:val="3CA26043"/>
    <w:rsid w:val="3CA41C13"/>
    <w:rsid w:val="3CA83DE9"/>
    <w:rsid w:val="3CDD705A"/>
    <w:rsid w:val="3D197528"/>
    <w:rsid w:val="3D306B56"/>
    <w:rsid w:val="3D6F7CB3"/>
    <w:rsid w:val="3D867D6C"/>
    <w:rsid w:val="3D931234"/>
    <w:rsid w:val="3DCA3E4E"/>
    <w:rsid w:val="3E343FA1"/>
    <w:rsid w:val="3E70582C"/>
    <w:rsid w:val="3E870C49"/>
    <w:rsid w:val="3E90381A"/>
    <w:rsid w:val="3EB70DA6"/>
    <w:rsid w:val="3EB818D5"/>
    <w:rsid w:val="3EC11A53"/>
    <w:rsid w:val="3EDB7F24"/>
    <w:rsid w:val="3EE60C49"/>
    <w:rsid w:val="3F2C47A5"/>
    <w:rsid w:val="3F783FA9"/>
    <w:rsid w:val="3FF20BE4"/>
    <w:rsid w:val="3FFF1D92"/>
    <w:rsid w:val="3FFF2A05"/>
    <w:rsid w:val="40987F57"/>
    <w:rsid w:val="40A37056"/>
    <w:rsid w:val="41646872"/>
    <w:rsid w:val="4170777C"/>
    <w:rsid w:val="41EB7F7E"/>
    <w:rsid w:val="41FB36A0"/>
    <w:rsid w:val="421B14EE"/>
    <w:rsid w:val="42615D21"/>
    <w:rsid w:val="42E61D5C"/>
    <w:rsid w:val="42FF3CC2"/>
    <w:rsid w:val="435B229A"/>
    <w:rsid w:val="436A4C1C"/>
    <w:rsid w:val="439E1B00"/>
    <w:rsid w:val="43BB1462"/>
    <w:rsid w:val="440856E5"/>
    <w:rsid w:val="44520414"/>
    <w:rsid w:val="44706C90"/>
    <w:rsid w:val="44E70D0C"/>
    <w:rsid w:val="44FA172B"/>
    <w:rsid w:val="44FA58B9"/>
    <w:rsid w:val="450E5498"/>
    <w:rsid w:val="452F618F"/>
    <w:rsid w:val="45546616"/>
    <w:rsid w:val="45596713"/>
    <w:rsid w:val="45857508"/>
    <w:rsid w:val="45CC0460"/>
    <w:rsid w:val="45E83086"/>
    <w:rsid w:val="46060059"/>
    <w:rsid w:val="46424A23"/>
    <w:rsid w:val="468C268D"/>
    <w:rsid w:val="46961347"/>
    <w:rsid w:val="46A24815"/>
    <w:rsid w:val="46B20E35"/>
    <w:rsid w:val="46B40FE8"/>
    <w:rsid w:val="46D94665"/>
    <w:rsid w:val="46E22739"/>
    <w:rsid w:val="47266AC9"/>
    <w:rsid w:val="489C351F"/>
    <w:rsid w:val="48A144B8"/>
    <w:rsid w:val="48D57D25"/>
    <w:rsid w:val="48F95DC0"/>
    <w:rsid w:val="48FE59D3"/>
    <w:rsid w:val="490C3711"/>
    <w:rsid w:val="49115921"/>
    <w:rsid w:val="49E45850"/>
    <w:rsid w:val="49F904C5"/>
    <w:rsid w:val="4A477482"/>
    <w:rsid w:val="4A7C753F"/>
    <w:rsid w:val="4AB065A6"/>
    <w:rsid w:val="4ABE49F2"/>
    <w:rsid w:val="4AC747CE"/>
    <w:rsid w:val="4AD301C1"/>
    <w:rsid w:val="4AD37F15"/>
    <w:rsid w:val="4ADC098F"/>
    <w:rsid w:val="4B051F99"/>
    <w:rsid w:val="4B0E03FA"/>
    <w:rsid w:val="4B4C5754"/>
    <w:rsid w:val="4B945699"/>
    <w:rsid w:val="4BB76501"/>
    <w:rsid w:val="4BD41234"/>
    <w:rsid w:val="4BF07C45"/>
    <w:rsid w:val="4BFE287F"/>
    <w:rsid w:val="4C032E9C"/>
    <w:rsid w:val="4C4744C4"/>
    <w:rsid w:val="4C8763E6"/>
    <w:rsid w:val="4CBD272C"/>
    <w:rsid w:val="4CBF4265"/>
    <w:rsid w:val="4CCF19B1"/>
    <w:rsid w:val="4D106C97"/>
    <w:rsid w:val="4D8C0857"/>
    <w:rsid w:val="4DCD727F"/>
    <w:rsid w:val="4DD70BA8"/>
    <w:rsid w:val="4DDA5D05"/>
    <w:rsid w:val="4E1B4EC9"/>
    <w:rsid w:val="4ECB0628"/>
    <w:rsid w:val="4ECF040B"/>
    <w:rsid w:val="4ED14431"/>
    <w:rsid w:val="4F751E23"/>
    <w:rsid w:val="4F9F566B"/>
    <w:rsid w:val="4FE47E97"/>
    <w:rsid w:val="4FE807E0"/>
    <w:rsid w:val="4FFC255D"/>
    <w:rsid w:val="502344EE"/>
    <w:rsid w:val="50633ACD"/>
    <w:rsid w:val="50BD5B05"/>
    <w:rsid w:val="519B00B4"/>
    <w:rsid w:val="51C45A44"/>
    <w:rsid w:val="52287B99"/>
    <w:rsid w:val="523657F0"/>
    <w:rsid w:val="52F16312"/>
    <w:rsid w:val="52F25E26"/>
    <w:rsid w:val="5316438C"/>
    <w:rsid w:val="53363699"/>
    <w:rsid w:val="53634C01"/>
    <w:rsid w:val="537B019D"/>
    <w:rsid w:val="53A762FC"/>
    <w:rsid w:val="541D029E"/>
    <w:rsid w:val="5423142F"/>
    <w:rsid w:val="54821B58"/>
    <w:rsid w:val="54990B73"/>
    <w:rsid w:val="549D5B96"/>
    <w:rsid w:val="54E63D3C"/>
    <w:rsid w:val="55405C37"/>
    <w:rsid w:val="55614DF5"/>
    <w:rsid w:val="55826CE3"/>
    <w:rsid w:val="559F4BE3"/>
    <w:rsid w:val="55CD7707"/>
    <w:rsid w:val="55D162E4"/>
    <w:rsid w:val="55E71D0D"/>
    <w:rsid w:val="563E1A8E"/>
    <w:rsid w:val="565F5B54"/>
    <w:rsid w:val="56A86EF9"/>
    <w:rsid w:val="56B30C5E"/>
    <w:rsid w:val="56B830B6"/>
    <w:rsid w:val="56EE7E34"/>
    <w:rsid w:val="574FCB8D"/>
    <w:rsid w:val="57C540DC"/>
    <w:rsid w:val="57EB4940"/>
    <w:rsid w:val="5834046E"/>
    <w:rsid w:val="58D16CDC"/>
    <w:rsid w:val="59264CFB"/>
    <w:rsid w:val="596919F0"/>
    <w:rsid w:val="59C44D0B"/>
    <w:rsid w:val="5A463B1B"/>
    <w:rsid w:val="5A585B5B"/>
    <w:rsid w:val="5A763E23"/>
    <w:rsid w:val="5AF74A57"/>
    <w:rsid w:val="5AF97D6A"/>
    <w:rsid w:val="5B2E4A9F"/>
    <w:rsid w:val="5B4E7822"/>
    <w:rsid w:val="5BA36D0F"/>
    <w:rsid w:val="5C3D51E3"/>
    <w:rsid w:val="5C66795E"/>
    <w:rsid w:val="5CC901CB"/>
    <w:rsid w:val="5CF06869"/>
    <w:rsid w:val="5CF7597A"/>
    <w:rsid w:val="5D006EDF"/>
    <w:rsid w:val="5D414A2F"/>
    <w:rsid w:val="5D907B42"/>
    <w:rsid w:val="5DAF4436"/>
    <w:rsid w:val="5DBD7E65"/>
    <w:rsid w:val="5DC17BF4"/>
    <w:rsid w:val="5DEF1EB3"/>
    <w:rsid w:val="5E0B0749"/>
    <w:rsid w:val="5E135BA1"/>
    <w:rsid w:val="5E4775F9"/>
    <w:rsid w:val="5E861C39"/>
    <w:rsid w:val="5E8F48D7"/>
    <w:rsid w:val="5ED864A3"/>
    <w:rsid w:val="5EDF0F68"/>
    <w:rsid w:val="5EE37E36"/>
    <w:rsid w:val="5EF34771"/>
    <w:rsid w:val="5EFB4ED6"/>
    <w:rsid w:val="5F041851"/>
    <w:rsid w:val="5FA12C37"/>
    <w:rsid w:val="5FF87769"/>
    <w:rsid w:val="601F6562"/>
    <w:rsid w:val="60340051"/>
    <w:rsid w:val="60C71038"/>
    <w:rsid w:val="611E43E3"/>
    <w:rsid w:val="61321F75"/>
    <w:rsid w:val="61474366"/>
    <w:rsid w:val="616E6A18"/>
    <w:rsid w:val="61763D3E"/>
    <w:rsid w:val="617B03EF"/>
    <w:rsid w:val="61A62800"/>
    <w:rsid w:val="61E53442"/>
    <w:rsid w:val="62093FCC"/>
    <w:rsid w:val="626E60EA"/>
    <w:rsid w:val="6271374A"/>
    <w:rsid w:val="62EE7F39"/>
    <w:rsid w:val="62F67840"/>
    <w:rsid w:val="6300212C"/>
    <w:rsid w:val="630E3598"/>
    <w:rsid w:val="631A092F"/>
    <w:rsid w:val="63520F1A"/>
    <w:rsid w:val="63657281"/>
    <w:rsid w:val="638C741C"/>
    <w:rsid w:val="63C53C5C"/>
    <w:rsid w:val="63DE3322"/>
    <w:rsid w:val="64720846"/>
    <w:rsid w:val="6497641A"/>
    <w:rsid w:val="64A500CE"/>
    <w:rsid w:val="6508637C"/>
    <w:rsid w:val="65250973"/>
    <w:rsid w:val="65321793"/>
    <w:rsid w:val="655C3D36"/>
    <w:rsid w:val="655D138E"/>
    <w:rsid w:val="65752C9E"/>
    <w:rsid w:val="659E4698"/>
    <w:rsid w:val="65B96237"/>
    <w:rsid w:val="65C226F7"/>
    <w:rsid w:val="65EE47FE"/>
    <w:rsid w:val="65FF4058"/>
    <w:rsid w:val="666C6B7A"/>
    <w:rsid w:val="66F0389A"/>
    <w:rsid w:val="670E41FC"/>
    <w:rsid w:val="67B6134C"/>
    <w:rsid w:val="67E130E0"/>
    <w:rsid w:val="67E95058"/>
    <w:rsid w:val="680A0A01"/>
    <w:rsid w:val="6854394C"/>
    <w:rsid w:val="68AF7D3A"/>
    <w:rsid w:val="68B25FC7"/>
    <w:rsid w:val="691A5942"/>
    <w:rsid w:val="699346E5"/>
    <w:rsid w:val="69A00505"/>
    <w:rsid w:val="69AA41E1"/>
    <w:rsid w:val="69FD0EC4"/>
    <w:rsid w:val="6A0B7AA5"/>
    <w:rsid w:val="6A723459"/>
    <w:rsid w:val="6AAA760E"/>
    <w:rsid w:val="6AF07A6D"/>
    <w:rsid w:val="6AFC321D"/>
    <w:rsid w:val="6B3019CB"/>
    <w:rsid w:val="6B497700"/>
    <w:rsid w:val="6C260DFF"/>
    <w:rsid w:val="6C403396"/>
    <w:rsid w:val="6C6A30C9"/>
    <w:rsid w:val="6C9A123C"/>
    <w:rsid w:val="6C9B5218"/>
    <w:rsid w:val="6CCF3405"/>
    <w:rsid w:val="6CE54C7D"/>
    <w:rsid w:val="6D0E7B05"/>
    <w:rsid w:val="6D6F30C1"/>
    <w:rsid w:val="6DAD0EE1"/>
    <w:rsid w:val="6DFD74DF"/>
    <w:rsid w:val="6E496B9C"/>
    <w:rsid w:val="6E645B6A"/>
    <w:rsid w:val="6E744EC2"/>
    <w:rsid w:val="6F00429D"/>
    <w:rsid w:val="6F1352D6"/>
    <w:rsid w:val="6F4316AD"/>
    <w:rsid w:val="6F8028DC"/>
    <w:rsid w:val="6FA82861"/>
    <w:rsid w:val="6FA96099"/>
    <w:rsid w:val="6FBB39A3"/>
    <w:rsid w:val="6FD14C40"/>
    <w:rsid w:val="700D4303"/>
    <w:rsid w:val="70195ECF"/>
    <w:rsid w:val="70943DB5"/>
    <w:rsid w:val="709911FD"/>
    <w:rsid w:val="709F788A"/>
    <w:rsid w:val="70C9547E"/>
    <w:rsid w:val="70FC170E"/>
    <w:rsid w:val="717A7C26"/>
    <w:rsid w:val="719C6780"/>
    <w:rsid w:val="71B71BD5"/>
    <w:rsid w:val="71CD10AB"/>
    <w:rsid w:val="72A63960"/>
    <w:rsid w:val="72CC236B"/>
    <w:rsid w:val="72F9004E"/>
    <w:rsid w:val="73010267"/>
    <w:rsid w:val="736F6C6A"/>
    <w:rsid w:val="7373047E"/>
    <w:rsid w:val="73886292"/>
    <w:rsid w:val="73B76C46"/>
    <w:rsid w:val="73D40FE1"/>
    <w:rsid w:val="73FF690D"/>
    <w:rsid w:val="74A162E9"/>
    <w:rsid w:val="74CB30F4"/>
    <w:rsid w:val="757265FB"/>
    <w:rsid w:val="75884FC7"/>
    <w:rsid w:val="759251A6"/>
    <w:rsid w:val="75B02BA9"/>
    <w:rsid w:val="75CC0481"/>
    <w:rsid w:val="75DA28D0"/>
    <w:rsid w:val="75E15028"/>
    <w:rsid w:val="761539BC"/>
    <w:rsid w:val="766D37E4"/>
    <w:rsid w:val="766F2527"/>
    <w:rsid w:val="76D15429"/>
    <w:rsid w:val="7725204A"/>
    <w:rsid w:val="777D1E86"/>
    <w:rsid w:val="77A50A0A"/>
    <w:rsid w:val="77AFDAEF"/>
    <w:rsid w:val="77B84C6C"/>
    <w:rsid w:val="77DB5350"/>
    <w:rsid w:val="7813131F"/>
    <w:rsid w:val="7827706C"/>
    <w:rsid w:val="78312AA4"/>
    <w:rsid w:val="78455D60"/>
    <w:rsid w:val="78591F7A"/>
    <w:rsid w:val="7865625E"/>
    <w:rsid w:val="787F0932"/>
    <w:rsid w:val="78D853D6"/>
    <w:rsid w:val="78FB3D07"/>
    <w:rsid w:val="78FB5471"/>
    <w:rsid w:val="79200281"/>
    <w:rsid w:val="7940316B"/>
    <w:rsid w:val="79490272"/>
    <w:rsid w:val="79973586"/>
    <w:rsid w:val="79A27982"/>
    <w:rsid w:val="7A8F3EAF"/>
    <w:rsid w:val="7A903C7E"/>
    <w:rsid w:val="7AA634A2"/>
    <w:rsid w:val="7ACA23BC"/>
    <w:rsid w:val="7AEF1C13"/>
    <w:rsid w:val="7AF03224"/>
    <w:rsid w:val="7B377AE0"/>
    <w:rsid w:val="7B8A617E"/>
    <w:rsid w:val="7BE9269F"/>
    <w:rsid w:val="7C1D61AE"/>
    <w:rsid w:val="7C3146C8"/>
    <w:rsid w:val="7C792778"/>
    <w:rsid w:val="7C8A0E3D"/>
    <w:rsid w:val="7C93066E"/>
    <w:rsid w:val="7CBD6F32"/>
    <w:rsid w:val="7CE362A8"/>
    <w:rsid w:val="7D075345"/>
    <w:rsid w:val="7D29726A"/>
    <w:rsid w:val="7D6C768E"/>
    <w:rsid w:val="7D706884"/>
    <w:rsid w:val="7D7B34CC"/>
    <w:rsid w:val="7D87580C"/>
    <w:rsid w:val="7DB54FCA"/>
    <w:rsid w:val="7DE44745"/>
    <w:rsid w:val="7DF06F0E"/>
    <w:rsid w:val="7DF62F20"/>
    <w:rsid w:val="7E532018"/>
    <w:rsid w:val="7E5468DC"/>
    <w:rsid w:val="7E734275"/>
    <w:rsid w:val="7E85661F"/>
    <w:rsid w:val="7EC521E8"/>
    <w:rsid w:val="7EE920E6"/>
    <w:rsid w:val="7F132528"/>
    <w:rsid w:val="7F166E48"/>
    <w:rsid w:val="7F3539DF"/>
    <w:rsid w:val="7F442888"/>
    <w:rsid w:val="7F8813C8"/>
    <w:rsid w:val="7FD23CE9"/>
    <w:rsid w:val="7FE72436"/>
    <w:rsid w:val="7FED1669"/>
    <w:rsid w:val="7FFE0FC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qFormat/>
    <w:uiPriority w:val="0"/>
  </w:style>
  <w:style w:type="table" w:default="1" w:styleId="9">
    <w:name w:val="Normal Table"/>
    <w:unhideWhenUsed/>
    <w:qFormat/>
    <w:uiPriority w:val="99"/>
    <w:tblPr>
      <w:tblCellMar>
        <w:top w:w="0" w:type="dxa"/>
        <w:left w:w="108" w:type="dxa"/>
        <w:bottom w:w="0" w:type="dxa"/>
        <w:right w:w="108" w:type="dxa"/>
      </w:tblCellMar>
    </w:tblPr>
  </w:style>
  <w:style w:type="paragraph" w:customStyle="1" w:styleId="2">
    <w:name w:val="BodyText1I"/>
    <w:basedOn w:val="3"/>
    <w:qFormat/>
    <w:uiPriority w:val="0"/>
    <w:pPr>
      <w:spacing w:after="0"/>
      <w:ind w:firstLine="420"/>
      <w:jc w:val="both"/>
      <w:textAlignment w:val="baseline"/>
    </w:pPr>
    <w:rPr>
      <w:rFonts w:eastAsia="宋体" w:cs="Times New Roman"/>
      <w:b/>
      <w:bCs/>
      <w:sz w:val="21"/>
      <w:szCs w:val="24"/>
    </w:rPr>
  </w:style>
  <w:style w:type="paragraph" w:customStyle="1" w:styleId="3">
    <w:name w:val="BodyText"/>
    <w:basedOn w:val="1"/>
    <w:qFormat/>
    <w:uiPriority w:val="0"/>
    <w:pPr>
      <w:spacing w:after="120"/>
      <w:jc w:val="both"/>
      <w:textAlignment w:val="baseline"/>
    </w:pPr>
  </w:style>
  <w:style w:type="paragraph" w:styleId="4">
    <w:name w:val="Body Text"/>
    <w:basedOn w:val="1"/>
    <w:semiHidden/>
    <w:qFormat/>
    <w:uiPriority w:val="0"/>
    <w:rPr>
      <w:rFonts w:ascii="仿宋" w:hAnsi="仿宋" w:eastAsia="仿宋" w:cs="仿宋"/>
      <w:sz w:val="28"/>
      <w:szCs w:val="28"/>
      <w:lang w:val="en-US" w:eastAsia="en-US" w:bidi="ar-SA"/>
    </w:r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Autospacing="1" w:afterAutospacing="1"/>
      <w:jc w:val="left"/>
    </w:pPr>
    <w:rPr>
      <w:rFonts w:cs="Times New Roman"/>
      <w:kern w:val="0"/>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page number"/>
    <w:basedOn w:val="11"/>
    <w:qFormat/>
    <w:uiPriority w:val="0"/>
  </w:style>
  <w:style w:type="character" w:styleId="14">
    <w:name w:val="FollowedHyperlink"/>
    <w:basedOn w:val="11"/>
    <w:qFormat/>
    <w:uiPriority w:val="0"/>
    <w:rPr>
      <w:color w:val="800080"/>
      <w:u w:val="single"/>
    </w:rPr>
  </w:style>
  <w:style w:type="character" w:styleId="15">
    <w:name w:val="Hyperlink"/>
    <w:basedOn w:val="11"/>
    <w:qFormat/>
    <w:uiPriority w:val="0"/>
    <w:rPr>
      <w:color w:val="0000FF"/>
      <w:u w:val="single"/>
    </w:rPr>
  </w:style>
  <w:style w:type="paragraph" w:customStyle="1" w:styleId="16">
    <w:name w:val="WPS Plain"/>
    <w:qFormat/>
    <w:uiPriority w:val="0"/>
    <w:rPr>
      <w:rFonts w:ascii="Times New Roman" w:hAnsi="Times New Roman" w:eastAsia="宋体" w:cs="Times New Roman"/>
      <w:lang w:val="en-US" w:eastAsia="zh-CN" w:bidi="ar-SA"/>
    </w:rPr>
  </w:style>
  <w:style w:type="paragraph" w:customStyle="1" w:styleId="17">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21</Pages>
  <Words>422</Words>
  <Characters>466</Characters>
  <Lines>86</Lines>
  <Paragraphs>24</Paragraphs>
  <TotalTime>859</TotalTime>
  <ScaleCrop>false</ScaleCrop>
  <LinksUpToDate>false</LinksUpToDate>
  <CharactersWithSpaces>471</CharactersWithSpaces>
  <Application>WPS Office_11.8.2.11625_F1E327BC-269C-435d-A152-05C5408002CA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2018-10-22T18:12:00Z</dcterms:created>
  <dc:creator>冀骏</dc:creator>
  <cp:lastModifiedBy>administrator</cp:lastModifiedBy>
  <cp:lastPrinted>2026-08-25T18:10:00Z</cp:lastPrinted>
  <dcterms:modified xsi:type="dcterms:W3CDTF">2026-09-30T15:39:51Z</dcterms:modified>
  <dc:title>新乡市国有建设用地使用权挂牌出让</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y fmtid="{D5CDD505-2E9C-101B-9397-08002B2CF9AE}" pid="3" name="ICV">
    <vt:lpwstr>92EAFFEFD58243C39DAA64101F11F4E7_13</vt:lpwstr>
  </property>
  <property fmtid="{D5CDD505-2E9C-101B-9397-08002B2CF9AE}" pid="4" name="KSOTemplateDocerSaveRecord">
    <vt:lpwstr>eyJoZGlkIjoiNWZmN2YwYjg0NGUyOTQ2NzkyNzM4M2FmOTBkNGU2NjciLCJ1c2VySWQiOiIzMjUxMjI2NTIifQ==</vt:lpwstr>
  </property>
</Properties>
</file>